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0" w:rsidRPr="002337D2" w:rsidRDefault="00A75620" w:rsidP="00A75620">
      <w:pPr>
        <w:tabs>
          <w:tab w:val="left" w:pos="4680"/>
        </w:tabs>
        <w:jc w:val="center"/>
      </w:pPr>
      <w:r w:rsidRPr="002337D2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1987804" r:id="rId10"/>
        </w:object>
      </w:r>
    </w:p>
    <w:p w:rsidR="00A75620" w:rsidRPr="002337D2" w:rsidRDefault="00A75620" w:rsidP="00A75620">
      <w:pPr>
        <w:jc w:val="center"/>
        <w:rPr>
          <w:b/>
          <w:sz w:val="14"/>
          <w:szCs w:val="14"/>
        </w:rPr>
      </w:pP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АДМИНИСТРАЦИЯ</w:t>
      </w: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ГОРОДСКОГО ПОСЕЛЕНИЯ ЛЯНТОР</w:t>
      </w: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Сургутского района</w:t>
      </w:r>
    </w:p>
    <w:p w:rsidR="00A75620" w:rsidRPr="002337D2" w:rsidRDefault="00A75620" w:rsidP="00A75620">
      <w:pPr>
        <w:jc w:val="center"/>
        <w:rPr>
          <w:b/>
          <w:sz w:val="32"/>
        </w:rPr>
      </w:pPr>
      <w:r w:rsidRPr="002337D2">
        <w:rPr>
          <w:b/>
          <w:sz w:val="32"/>
        </w:rPr>
        <w:t>Ханты-Мансийского автономного округа-Югры</w:t>
      </w:r>
    </w:p>
    <w:p w:rsidR="00A75620" w:rsidRPr="002337D2" w:rsidRDefault="00A75620" w:rsidP="00A75620">
      <w:pPr>
        <w:jc w:val="center"/>
        <w:rPr>
          <w:b/>
          <w:sz w:val="32"/>
        </w:rPr>
      </w:pPr>
    </w:p>
    <w:p w:rsidR="00A75620" w:rsidRPr="002337D2" w:rsidRDefault="00A75620" w:rsidP="00A75620">
      <w:pPr>
        <w:jc w:val="center"/>
        <w:rPr>
          <w:b/>
          <w:sz w:val="32"/>
          <w:szCs w:val="32"/>
        </w:rPr>
      </w:pPr>
      <w:r w:rsidRPr="002337D2">
        <w:rPr>
          <w:b/>
          <w:sz w:val="32"/>
          <w:szCs w:val="32"/>
        </w:rPr>
        <w:t>ПОСТАНОВЛЕНИЕ</w:t>
      </w:r>
    </w:p>
    <w:p w:rsidR="00A75620" w:rsidRPr="002337D2" w:rsidRDefault="00A75620" w:rsidP="00A75620"/>
    <w:p w:rsidR="00A75620" w:rsidRPr="002337D2" w:rsidRDefault="00A75620" w:rsidP="00A75620"/>
    <w:p w:rsidR="00A75620" w:rsidRPr="002337D2" w:rsidRDefault="00A75620" w:rsidP="00A75620">
      <w:pPr>
        <w:rPr>
          <w:sz w:val="28"/>
          <w:szCs w:val="28"/>
        </w:rPr>
      </w:pPr>
      <w:r w:rsidRPr="0073016D">
        <w:rPr>
          <w:sz w:val="28"/>
          <w:szCs w:val="28"/>
          <w:u w:val="single"/>
        </w:rPr>
        <w:t>«</w:t>
      </w:r>
      <w:r w:rsidR="006C2AC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сентября </w:t>
      </w:r>
      <w:r w:rsidRPr="0073016D">
        <w:rPr>
          <w:sz w:val="28"/>
          <w:szCs w:val="28"/>
          <w:u w:val="single"/>
        </w:rPr>
        <w:t>2013 года</w:t>
      </w:r>
      <w:r w:rsidRPr="002337D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337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C2ACB">
        <w:rPr>
          <w:sz w:val="28"/>
          <w:szCs w:val="28"/>
        </w:rPr>
        <w:t>461</w:t>
      </w:r>
    </w:p>
    <w:p w:rsidR="00A75620" w:rsidRPr="002337D2" w:rsidRDefault="00A75620" w:rsidP="00A75620">
      <w:pPr>
        <w:rPr>
          <w:sz w:val="28"/>
          <w:szCs w:val="28"/>
        </w:rPr>
      </w:pPr>
      <w:r w:rsidRPr="002337D2">
        <w:rPr>
          <w:sz w:val="28"/>
          <w:szCs w:val="28"/>
        </w:rPr>
        <w:t xml:space="preserve">                г.Лянтор</w:t>
      </w:r>
    </w:p>
    <w:p w:rsidR="00F75CBF" w:rsidRPr="000919FA" w:rsidRDefault="00F75CBF" w:rsidP="00F75CBF">
      <w:pPr>
        <w:rPr>
          <w:sz w:val="28"/>
          <w:szCs w:val="28"/>
        </w:rPr>
      </w:pPr>
    </w:p>
    <w:p w:rsidR="004D06F0" w:rsidRPr="00307EAE" w:rsidRDefault="004D06F0" w:rsidP="004D06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E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оценки </w:t>
      </w:r>
    </w:p>
    <w:p w:rsidR="004D06F0" w:rsidRPr="00307EAE" w:rsidRDefault="004D06F0" w:rsidP="004D06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E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эффективности предоставляемых </w:t>
      </w:r>
    </w:p>
    <w:p w:rsidR="004D06F0" w:rsidRPr="00307EAE" w:rsidRDefault="004D06F0" w:rsidP="004D06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E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(планируемых к предоставлению) </w:t>
      </w:r>
    </w:p>
    <w:p w:rsidR="004D06F0" w:rsidRPr="00307EAE" w:rsidRDefault="004D06F0" w:rsidP="004D06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EAE">
        <w:rPr>
          <w:rFonts w:ascii="Times New Roman" w:hAnsi="Times New Roman" w:cs="Times New Roman"/>
          <w:b w:val="0"/>
          <w:bCs w:val="0"/>
          <w:sz w:val="28"/>
          <w:szCs w:val="28"/>
        </w:rPr>
        <w:t>налоговых льгот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DE1">
        <w:rPr>
          <w:sz w:val="28"/>
          <w:szCs w:val="28"/>
        </w:rPr>
        <w:t>В целях оптимизации действующих налоговых льгот, обеспечения оптимального выбора объектов для предоставления поддержки в форме налоговых льгот, сокращения потерь бюджета город</w:t>
      </w:r>
      <w:r>
        <w:rPr>
          <w:sz w:val="28"/>
          <w:szCs w:val="28"/>
        </w:rPr>
        <w:t>ского поселения</w:t>
      </w:r>
      <w:r w:rsidRPr="00660DE1">
        <w:rPr>
          <w:sz w:val="28"/>
          <w:szCs w:val="28"/>
        </w:rPr>
        <w:t>, повышения эффективности предоставляемых налоговых льгот (планируемых к предоставлению) по местным налогам, подлежащим зачислению в бюджет город</w:t>
      </w:r>
      <w:r>
        <w:rPr>
          <w:sz w:val="28"/>
          <w:szCs w:val="28"/>
        </w:rPr>
        <w:t>ского поселения Лянтор</w:t>
      </w:r>
      <w:r w:rsidRPr="00660DE1">
        <w:rPr>
          <w:sz w:val="28"/>
          <w:szCs w:val="28"/>
        </w:rPr>
        <w:t>: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DE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</w:t>
      </w:r>
      <w:r w:rsidRPr="00660DE1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Pr="00660DE1">
        <w:rPr>
          <w:sz w:val="28"/>
          <w:szCs w:val="28"/>
        </w:rPr>
        <w:t xml:space="preserve"> оценки эффективности предоставляемых (планируемых к предоставлению) налоговых льгот согласно приложению.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DE1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бюджетного учёта и отчётности Администрации городского поселения Лянтор</w:t>
      </w:r>
      <w:r w:rsidRPr="00660DE1">
        <w:rPr>
          <w:sz w:val="28"/>
          <w:szCs w:val="28"/>
        </w:rPr>
        <w:t xml:space="preserve"> (</w:t>
      </w:r>
      <w:r>
        <w:rPr>
          <w:sz w:val="28"/>
          <w:szCs w:val="28"/>
        </w:rPr>
        <w:t>Петрук Т.В.</w:t>
      </w:r>
      <w:r w:rsidRPr="00660DE1">
        <w:rPr>
          <w:sz w:val="28"/>
          <w:szCs w:val="28"/>
        </w:rPr>
        <w:t xml:space="preserve">) обеспечить проведение ежегодной оценки эффективности предоставленных (планируемых к предоставлению) налоговых льгот </w:t>
      </w:r>
      <w:r>
        <w:rPr>
          <w:sz w:val="28"/>
          <w:szCs w:val="28"/>
        </w:rPr>
        <w:t>в соответствии</w:t>
      </w:r>
      <w:r w:rsidRPr="0066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60DE1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660DE1">
        <w:rPr>
          <w:sz w:val="28"/>
          <w:szCs w:val="28"/>
        </w:rPr>
        <w:t>нн</w:t>
      </w:r>
      <w:r>
        <w:rPr>
          <w:sz w:val="28"/>
          <w:szCs w:val="28"/>
        </w:rPr>
        <w:t>ым Порядком.</w:t>
      </w:r>
      <w:r w:rsidRPr="00660DE1">
        <w:rPr>
          <w:sz w:val="28"/>
          <w:szCs w:val="28"/>
        </w:rPr>
        <w:t xml:space="preserve"> 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0DE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660DE1">
        <w:rPr>
          <w:sz w:val="28"/>
          <w:szCs w:val="28"/>
        </w:rPr>
        <w:t xml:space="preserve"> официального опубликования.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0DE1">
        <w:rPr>
          <w:sz w:val="28"/>
          <w:szCs w:val="28"/>
        </w:rPr>
        <w:t>. Контроль за выполнением постановления оставляю за собой.</w:t>
      </w:r>
    </w:p>
    <w:p w:rsidR="004D06F0" w:rsidRDefault="004D06F0" w:rsidP="004D06F0">
      <w:pPr>
        <w:jc w:val="both"/>
        <w:rPr>
          <w:sz w:val="28"/>
          <w:szCs w:val="28"/>
        </w:rPr>
      </w:pPr>
    </w:p>
    <w:p w:rsidR="004D06F0" w:rsidRDefault="004D06F0" w:rsidP="004D06F0">
      <w:pPr>
        <w:jc w:val="both"/>
        <w:rPr>
          <w:sz w:val="28"/>
          <w:szCs w:val="28"/>
        </w:rPr>
      </w:pPr>
    </w:p>
    <w:p w:rsidR="004D06F0" w:rsidRPr="00FA32A1" w:rsidRDefault="004D06F0" w:rsidP="004D06F0">
      <w:pPr>
        <w:jc w:val="both"/>
        <w:rPr>
          <w:sz w:val="28"/>
          <w:szCs w:val="28"/>
        </w:rPr>
      </w:pPr>
      <w:r w:rsidRPr="00FA32A1">
        <w:rPr>
          <w:sz w:val="28"/>
          <w:szCs w:val="28"/>
        </w:rPr>
        <w:t xml:space="preserve"> </w:t>
      </w:r>
    </w:p>
    <w:p w:rsidR="004D06F0" w:rsidRPr="00FA32A1" w:rsidRDefault="004D06F0" w:rsidP="004D06F0">
      <w:pPr>
        <w:jc w:val="both"/>
      </w:pPr>
      <w:r w:rsidRPr="00FA32A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A32A1">
        <w:rPr>
          <w:sz w:val="28"/>
          <w:szCs w:val="28"/>
        </w:rPr>
        <w:t>город</w:t>
      </w:r>
      <w:r>
        <w:rPr>
          <w:sz w:val="28"/>
          <w:szCs w:val="28"/>
        </w:rPr>
        <w:t>а                                                                                          С.А. Махиня</w:t>
      </w:r>
    </w:p>
    <w:p w:rsidR="004D06F0" w:rsidRDefault="004D06F0" w:rsidP="004D06F0"/>
    <w:p w:rsidR="004D06F0" w:rsidRDefault="004D06F0" w:rsidP="004D06F0">
      <w:pPr>
        <w:rPr>
          <w:sz w:val="28"/>
          <w:szCs w:val="28"/>
        </w:rPr>
      </w:pPr>
    </w:p>
    <w:p w:rsidR="004D06F0" w:rsidRDefault="004D06F0" w:rsidP="004D06F0">
      <w:pPr>
        <w:rPr>
          <w:sz w:val="28"/>
          <w:szCs w:val="28"/>
        </w:rPr>
      </w:pPr>
    </w:p>
    <w:p w:rsidR="004D06F0" w:rsidRDefault="004D06F0" w:rsidP="004D06F0">
      <w:pPr>
        <w:rPr>
          <w:sz w:val="28"/>
          <w:szCs w:val="28"/>
        </w:rPr>
      </w:pPr>
    </w:p>
    <w:p w:rsidR="004D06F0" w:rsidRDefault="004D06F0" w:rsidP="004D06F0">
      <w:pPr>
        <w:rPr>
          <w:sz w:val="28"/>
          <w:szCs w:val="28"/>
        </w:rPr>
      </w:pPr>
    </w:p>
    <w:p w:rsidR="004D06F0" w:rsidRDefault="004D06F0" w:rsidP="004D06F0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</w:t>
      </w:r>
      <w:r w:rsidRPr="004D06F0">
        <w:t>Приложение</w:t>
      </w:r>
      <w:r>
        <w:t xml:space="preserve"> </w:t>
      </w:r>
      <w:r w:rsidRPr="004D06F0">
        <w:t>к постановлению</w:t>
      </w:r>
    </w:p>
    <w:p w:rsidR="004D06F0" w:rsidRDefault="004D06F0" w:rsidP="004D06F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</w:t>
      </w:r>
      <w:r w:rsidRPr="004D06F0">
        <w:t>Администрации</w:t>
      </w:r>
      <w:r>
        <w:t xml:space="preserve"> </w:t>
      </w:r>
      <w:r w:rsidRPr="004D06F0">
        <w:t xml:space="preserve">городского </w:t>
      </w:r>
    </w:p>
    <w:p w:rsidR="004D06F0" w:rsidRPr="004D06F0" w:rsidRDefault="004D06F0" w:rsidP="004D06F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</w:t>
      </w:r>
      <w:r w:rsidRPr="004D06F0">
        <w:t>поселения Лянтор</w:t>
      </w:r>
    </w:p>
    <w:p w:rsidR="004D06F0" w:rsidRPr="004D06F0" w:rsidRDefault="004D06F0" w:rsidP="004D06F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  <w:r w:rsidRPr="004D06F0">
        <w:t>от «</w:t>
      </w:r>
      <w:r w:rsidR="006C2ACB">
        <w:t>30</w:t>
      </w:r>
      <w:r w:rsidRPr="004D06F0">
        <w:t>»</w:t>
      </w:r>
      <w:r w:rsidR="006C2ACB">
        <w:t xml:space="preserve"> сентября </w:t>
      </w:r>
      <w:r w:rsidRPr="004D06F0">
        <w:t>2013 года №</w:t>
      </w:r>
      <w:r w:rsidR="006C2ACB">
        <w:t xml:space="preserve"> 461</w:t>
      </w:r>
      <w:bookmarkStart w:id="0" w:name="_GoBack"/>
      <w:bookmarkEnd w:id="0"/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6F0" w:rsidRDefault="004D06F0" w:rsidP="004D0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660DE1">
        <w:rPr>
          <w:sz w:val="28"/>
          <w:szCs w:val="28"/>
        </w:rPr>
        <w:t xml:space="preserve"> оценки эффективности предоставляемых</w:t>
      </w:r>
    </w:p>
    <w:p w:rsidR="004D06F0" w:rsidRDefault="004D06F0" w:rsidP="004D0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60DE1">
        <w:rPr>
          <w:sz w:val="28"/>
          <w:szCs w:val="28"/>
        </w:rPr>
        <w:t xml:space="preserve"> (планируемых к предоставлению) налоговых льгот</w:t>
      </w: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06F0" w:rsidRPr="00660DE1" w:rsidRDefault="004D06F0" w:rsidP="004D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DE1"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Порядок</w:t>
      </w:r>
      <w:r w:rsidRPr="00660DE1">
        <w:rPr>
          <w:sz w:val="28"/>
          <w:szCs w:val="28"/>
        </w:rPr>
        <w:t xml:space="preserve"> оценки эффективности предоставляемых (планируемых к предоставлению) налоговых льгот (далее </w:t>
      </w:r>
      <w:r>
        <w:rPr>
          <w:sz w:val="28"/>
          <w:szCs w:val="28"/>
        </w:rPr>
        <w:t>–</w:t>
      </w:r>
      <w:r w:rsidRPr="00660DE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660DE1">
        <w:rPr>
          <w:sz w:val="28"/>
          <w:szCs w:val="28"/>
        </w:rPr>
        <w:t xml:space="preserve">) определяет </w:t>
      </w:r>
      <w:r>
        <w:rPr>
          <w:sz w:val="28"/>
          <w:szCs w:val="28"/>
        </w:rPr>
        <w:t>показатели</w:t>
      </w:r>
      <w:r w:rsidRPr="00660DE1">
        <w:rPr>
          <w:sz w:val="28"/>
          <w:szCs w:val="28"/>
        </w:rPr>
        <w:t xml:space="preserve"> оценки эффективности предоставления налоговых льгот по местным налогам, последовательность действий при проведении оценки эффективности предоставления налоговых льгот, требования к применению полученных результатов оценки.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2. Оценка эффективности налоговых льгот по местным налогам, подлежащим зачислению в </w:t>
      </w:r>
      <w:r>
        <w:rPr>
          <w:sz w:val="28"/>
          <w:szCs w:val="28"/>
        </w:rPr>
        <w:t>бюджет городского поселения Лянтор (далее – бюджет поселения),</w:t>
      </w:r>
      <w:r w:rsidRPr="006B622B">
        <w:rPr>
          <w:sz w:val="28"/>
          <w:szCs w:val="28"/>
        </w:rPr>
        <w:t xml:space="preserve"> производится в целях сокращения потерь </w:t>
      </w:r>
      <w:r>
        <w:rPr>
          <w:sz w:val="28"/>
          <w:szCs w:val="28"/>
        </w:rPr>
        <w:t>бюджета поселения</w:t>
      </w:r>
      <w:r w:rsidRPr="006B622B">
        <w:rPr>
          <w:sz w:val="28"/>
          <w:szCs w:val="28"/>
        </w:rPr>
        <w:t>, связанных с предоставлением налоговых льгот, оптимизации перечня действующих налоговых льгот и их соответствия общественным интересам.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3. В настоящ</w:t>
      </w:r>
      <w:r>
        <w:rPr>
          <w:sz w:val="28"/>
          <w:szCs w:val="28"/>
        </w:rPr>
        <w:t>ем</w:t>
      </w:r>
      <w:r w:rsidRPr="006B62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6B622B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предоставляемая налоговая льгота – налоговая льгота по местным налогам, установленная решением Совета депутатов городского поселения </w:t>
      </w:r>
      <w:r>
        <w:rPr>
          <w:sz w:val="28"/>
          <w:szCs w:val="28"/>
        </w:rPr>
        <w:t>Лянтор</w:t>
      </w:r>
      <w:r w:rsidRPr="006B622B">
        <w:rPr>
          <w:sz w:val="28"/>
          <w:szCs w:val="28"/>
        </w:rPr>
        <w:t>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оценка эффективности – процедура оценки результатов предоставления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4. Оценка эффективности налоговых льгот должна осуществля</w:t>
      </w:r>
      <w:r>
        <w:rPr>
          <w:sz w:val="28"/>
          <w:szCs w:val="28"/>
        </w:rPr>
        <w:t>ть</w:t>
      </w:r>
      <w:r w:rsidRPr="006B622B">
        <w:rPr>
          <w:sz w:val="28"/>
          <w:szCs w:val="28"/>
        </w:rPr>
        <w:t>ся по следующим критериям: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бюджетная эффективность налоговых льгот;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экономическая эффективность налоговых льгот;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социальная эффективность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4.1. Под бюджетной эффективностью налоговых льгот понимается влияние предоставленных (планируемых к предоставлению) налоговых льгот на доходы и расходы бюджета </w:t>
      </w:r>
      <w:r>
        <w:rPr>
          <w:sz w:val="28"/>
          <w:szCs w:val="28"/>
        </w:rPr>
        <w:t>поселения</w:t>
      </w:r>
      <w:r w:rsidRPr="006B622B">
        <w:rPr>
          <w:sz w:val="28"/>
          <w:szCs w:val="28"/>
        </w:rPr>
        <w:t>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Если фактическая сумма налоговых поступлений в бюджет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оселения, связанных с использованием налоговых льгот, превышает сумму налоговых льгот или равна нулю, то налоговая льгота имеет положительную бюджетную эффективность.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Если фактическая сумма налоговых поступлений в бюджет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оселения, связанных с использованием налоговых льгот, меньше суммы налоговых льгот, то налоговая льгота имеет отрицательную бюджетную эффективность.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4.2. Под экономической эффективностью налоговых льгот понимается положительная динамика финансово-экономических показателей деятельности </w:t>
      </w:r>
      <w:r w:rsidRPr="006B622B">
        <w:rPr>
          <w:sz w:val="28"/>
          <w:szCs w:val="28"/>
        </w:rPr>
        <w:lastRenderedPageBreak/>
        <w:t>категорий налогоплательщиков (прибыльность, рентабельность, расширение производства ассортимента продукции (работ, услуг), снижение себестоимости продукции (работ, услуг), увеличение капитальных вложений в основные средства, осуществление инвестиционной и инновационной деятельности на территории поселения и другие показатели, характеризующие финансово-экономическое оздоровление организаций отдельных производственных отраслей.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4.3. Под социальной эффективностью налоговых льгот для юридических лиц понимаются изменения в уровне доходов, в уровне безработицы и иных составляющих уровня и качества жизни населения вследствие использования налоговых льгот, а для физических лиц – сумма п</w:t>
      </w:r>
      <w:r>
        <w:rPr>
          <w:sz w:val="28"/>
          <w:szCs w:val="28"/>
        </w:rPr>
        <w:t>редоставленных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5. Для оценки бюджетной эффективности предоставляемых (планируемых к предоставлению) налоговых льгот используется показатель «Сокращение расходов местного бюджета».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Показатель «Сокращение расходов местного бюджета» предусматривает снижение налоговой нагрузки на юридические лица, финансируемые из местного бюджета. 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Оценка соответствия предоставляемой (планируемой к предоставлению) налоговой льготы показателю «Сокращение расходов местного бюджета» осуществляется на основании расчета, в котором следует определить: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налоговую нагрузку на юридические лица, финансируемые из местного бюджета по налогу, по которому предоставляется (планируется к предоставлению) льгота;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объемы финансирования из местного бюджета, в том числе в части, идущей на уплату данного налога.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Налоговая льгота признается эффективной в случае, если расходы местного бюджета будут сокращены в размере, превышающем или равном потерям местного бюджета от предоставления налоговой льготы.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6. Для оценки экономической эффективности предоставляемых (планируемых к предоставлению) налоговых льгот используется показатель «Финансово-экономическое оздоровление организаций отдельных производственных отраслей».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Показатель «Финансово-экономическое оздоровление организаций отдельных производственных отраслей» предусматривает: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производство новых конкурентоспособных видов продукции (товаров, услуг);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освоение и введение в действие нового оборудования, объектов производственного назначения, технологических процессов и производственных мощностей;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рост объемов производства продукции и (или) услуг;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увеличение перечислений налоговых платежей в бюджет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7. Для оценки социальной эффективности предоставляемых (планируемых к предоставлению) налоговых льгот используются показатели: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обеспечение занятости, сохранение и увеличение количества рабочих мест;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рост среднемесячной заработной платы;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6B622B">
        <w:rPr>
          <w:sz w:val="28"/>
          <w:szCs w:val="28"/>
        </w:rPr>
        <w:t>формирование благоприятных условий жизнедеятельности для незащищенных слоев населения;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поддержка организаций, имеющих общественную значимость в жизнедеятельности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достижение иных социальных целей.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Оценка социальной эффективности предоставляемых (планируемых к предоставлению) налоговых льгот осуществляется на основании сравнения суммарного эффекта, полученного населением в результате установления налоговых льгот, с потерями бюджета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 от ее предоставления.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8. Бюджетная эффективность и экономическая эффективность не определяется, а социальная эффективность принимается равной размеру предоставляемых (планируемых к предоставлению) налоговых льгот для налогоплательщиков физических лиц, не являющимися предпринимателями без образования юридического лица.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9. Оценка эффективности предоставления налоговых льгот производится в следующие сроки: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по налоговым льготам, планируемым к предоставлению отдельным категориям налогоплательщиков - в течение месяца со дня предоставления лицами, инициирующими установление налоговой льготы предложений об установлении соответствующей льготы.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по налоговым льготам, установленным решениями </w:t>
      </w:r>
      <w:r>
        <w:rPr>
          <w:sz w:val="28"/>
          <w:szCs w:val="28"/>
        </w:rPr>
        <w:t>С</w:t>
      </w:r>
      <w:r w:rsidRPr="006B622B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городского п</w:t>
      </w:r>
      <w:r w:rsidRPr="006B622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– </w:t>
      </w:r>
      <w:r w:rsidRPr="006B622B">
        <w:rPr>
          <w:sz w:val="28"/>
          <w:szCs w:val="28"/>
        </w:rPr>
        <w:t>в течение месяца со дня поступления от налогового органа отчета о налоговой базе и структуре начислений по местным налогам за отчет</w:t>
      </w:r>
      <w:r>
        <w:rPr>
          <w:sz w:val="28"/>
          <w:szCs w:val="28"/>
        </w:rPr>
        <w:t>ный период.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10. Оценка эффективности налоговых льгот осуществляется по каждому виду налогов.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11. Источником информации для расчета оценки эффективности налоговых льгот могут служить данные налоговой отчетности, статистической отчетности, сведения, предоставленные исполнительными органами государственной власти Российской Федерации, субъекта Российской Федерации, отраслевых (функциональных) органов </w:t>
      </w:r>
      <w:r>
        <w:rPr>
          <w:sz w:val="28"/>
          <w:szCs w:val="28"/>
        </w:rPr>
        <w:t>Администрации городского п</w:t>
      </w:r>
      <w:r w:rsidRPr="006B622B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Лянтор </w:t>
      </w:r>
      <w:r w:rsidRPr="006B622B">
        <w:rPr>
          <w:sz w:val="28"/>
          <w:szCs w:val="28"/>
        </w:rPr>
        <w:t xml:space="preserve">и отраслевых (функциональных) органов </w:t>
      </w:r>
      <w:r>
        <w:rPr>
          <w:sz w:val="28"/>
          <w:szCs w:val="28"/>
        </w:rPr>
        <w:t>А</w:t>
      </w:r>
      <w:r w:rsidRPr="006B622B">
        <w:rPr>
          <w:sz w:val="28"/>
          <w:szCs w:val="28"/>
        </w:rPr>
        <w:t>дминистрации Сургутского района, а также данные, предоставленные налогоплательщиками, использующими льготы по местным налогам, и лицами, инициирующими их установление.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12. Определение объема предоставляемых льгот по местным налогам осуществляется на основании сведений, предоставленных налоговым органом.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B622B">
        <w:rPr>
          <w:sz w:val="28"/>
          <w:szCs w:val="28"/>
        </w:rPr>
        <w:t>Определение объема планируемых к предоставлению налоговых льгот проводится по формуле: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Опнл = Бн х (Снд – Снл), где: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Опнл – объем планируемых к предоставлению налоговых льгот;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Бн – размер налогооблагаемой базы, на которую распространяется действие льготы;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Снд – ставка налога в действующих условиях;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Снл – ставка налога льготная.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lastRenderedPageBreak/>
        <w:t>14. В случае предоставления льготы в виде освобождения от налогообложения части налогооблагаемой базы объём планируемых к предоставлению льгот определяется по формуле:</w:t>
      </w:r>
    </w:p>
    <w:p w:rsidR="004D06F0" w:rsidRPr="006B622B" w:rsidRDefault="004D06F0" w:rsidP="004D06F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Опнл = Ссн х Снд, где:</w:t>
      </w:r>
    </w:p>
    <w:p w:rsidR="004D06F0" w:rsidRPr="006B622B" w:rsidRDefault="004D06F0" w:rsidP="004D06F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Ссн – сумма сокращения налогооблагаемой базы;</w:t>
      </w:r>
    </w:p>
    <w:p w:rsidR="004D06F0" w:rsidRPr="006B622B" w:rsidRDefault="004D06F0" w:rsidP="004D06F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Снд – ставка налога в действующих условиях.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Определение объема планируемых к предоставлению налоговых льгот по местным налогам осуществляется на основании сведений, предоставленных лицами, инициирующими установление налоговой льготы, и данных, предоставленных источниками информации указанными в пунктах 11, 12 настоящ</w:t>
      </w:r>
      <w:r>
        <w:rPr>
          <w:sz w:val="28"/>
          <w:szCs w:val="28"/>
        </w:rPr>
        <w:t>его</w:t>
      </w:r>
      <w:r w:rsidRPr="006B62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B622B">
        <w:rPr>
          <w:sz w:val="28"/>
          <w:szCs w:val="28"/>
        </w:rPr>
        <w:t>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15. По результатам проведенной оценки эффективности предоставления налоговых льгот по местным налогам, подлежащим зачислению в бюджет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 xml:space="preserve">оселения готовится аналитическая справка об эффективности налоговых льгот и направляется главе </w:t>
      </w:r>
      <w:r>
        <w:rPr>
          <w:sz w:val="28"/>
          <w:szCs w:val="28"/>
        </w:rPr>
        <w:t>городского п</w:t>
      </w:r>
      <w:r w:rsidRPr="006B622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Лянтор.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16. Результаты оценки эффективности предоставления налоговых льгот в форме аналитической справки содержат: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оценку бюджетной эффективности;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 оценку социальной эффективности;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оценку экономической эффективности;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пояснения и расчёты к проведенной оценке эффективности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При оценке эффективности налоговых льгот аналитическая справка должна содержать выводы и рекомендации по сохранению, отмене либо изменению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При оценке эффективности предлагаемых к установлению налоговых льгот аналитическая справка должна содержать выводы о целесообразности (нецелесообразности) установления налоговых льгот.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 w:rsidRPr="006B622B">
        <w:rPr>
          <w:sz w:val="28"/>
          <w:szCs w:val="28"/>
        </w:rPr>
        <w:t>17. Результаты оценки эффективности налоговых льгот используются для: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 xml:space="preserve">разработки бюджета </w:t>
      </w:r>
      <w:r>
        <w:rPr>
          <w:sz w:val="28"/>
          <w:szCs w:val="28"/>
        </w:rPr>
        <w:t>п</w:t>
      </w:r>
      <w:r w:rsidRPr="006B622B">
        <w:rPr>
          <w:sz w:val="28"/>
          <w:szCs w:val="28"/>
        </w:rPr>
        <w:t>оселения на очередной финансовый год и плановый период;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4D06F0" w:rsidRPr="006B622B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4D06F0" w:rsidRDefault="004D06F0" w:rsidP="004D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B622B">
        <w:rPr>
          <w:sz w:val="28"/>
          <w:szCs w:val="28"/>
        </w:rPr>
        <w:t>установления налоговых льгот.</w:t>
      </w:r>
    </w:p>
    <w:p w:rsidR="004D06F0" w:rsidRDefault="004D06F0" w:rsidP="004D06F0">
      <w:pPr>
        <w:ind w:firstLine="567"/>
        <w:jc w:val="both"/>
        <w:rPr>
          <w:sz w:val="28"/>
          <w:szCs w:val="28"/>
        </w:rPr>
      </w:pPr>
    </w:p>
    <w:p w:rsidR="004D06F0" w:rsidRDefault="004D06F0" w:rsidP="004D06F0">
      <w:pPr>
        <w:ind w:firstLine="567"/>
        <w:jc w:val="both"/>
        <w:rPr>
          <w:sz w:val="28"/>
          <w:szCs w:val="28"/>
        </w:rPr>
      </w:pPr>
    </w:p>
    <w:p w:rsidR="004D06F0" w:rsidRDefault="004D06F0" w:rsidP="004D06F0">
      <w:pPr>
        <w:jc w:val="center"/>
        <w:rPr>
          <w:sz w:val="28"/>
          <w:szCs w:val="28"/>
        </w:rPr>
      </w:pPr>
    </w:p>
    <w:sectPr w:rsidR="004D06F0" w:rsidSect="00E64FD5">
      <w:headerReference w:type="even" r:id="rId11"/>
      <w:footerReference w:type="even" r:id="rId12"/>
      <w:footerReference w:type="default" r:id="rId13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5B" w:rsidRDefault="0032135B">
      <w:r>
        <w:separator/>
      </w:r>
    </w:p>
  </w:endnote>
  <w:endnote w:type="continuationSeparator" w:id="0">
    <w:p w:rsidR="0032135B" w:rsidRDefault="003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AF1B83" w:rsidP="00E64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40E" w:rsidRDefault="006C2ACB" w:rsidP="00E64F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6C2ACB" w:rsidP="00E64F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5B" w:rsidRDefault="0032135B">
      <w:r>
        <w:separator/>
      </w:r>
    </w:p>
  </w:footnote>
  <w:footnote w:type="continuationSeparator" w:id="0">
    <w:p w:rsidR="0032135B" w:rsidRDefault="0032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0E" w:rsidRDefault="00AF1B83" w:rsidP="00E64F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40E" w:rsidRDefault="006C2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F"/>
    <w:rsid w:val="000B0223"/>
    <w:rsid w:val="000C4B59"/>
    <w:rsid w:val="00230352"/>
    <w:rsid w:val="002D3BBD"/>
    <w:rsid w:val="0032135B"/>
    <w:rsid w:val="003C683A"/>
    <w:rsid w:val="003F7AED"/>
    <w:rsid w:val="004A7216"/>
    <w:rsid w:val="004D06F0"/>
    <w:rsid w:val="005761A9"/>
    <w:rsid w:val="006C2ACB"/>
    <w:rsid w:val="00A75620"/>
    <w:rsid w:val="00AE2600"/>
    <w:rsid w:val="00AF1B83"/>
    <w:rsid w:val="00CF45D1"/>
    <w:rsid w:val="00F75CBF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75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CBF"/>
  </w:style>
  <w:style w:type="paragraph" w:styleId="a6">
    <w:name w:val="header"/>
    <w:basedOn w:val="a"/>
    <w:link w:val="a7"/>
    <w:rsid w:val="00F75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4D06F0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4D0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06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0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06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0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75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CBF"/>
  </w:style>
  <w:style w:type="paragraph" w:styleId="a6">
    <w:name w:val="header"/>
    <w:basedOn w:val="a"/>
    <w:link w:val="a7"/>
    <w:rsid w:val="00F75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4D06F0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4D0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06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0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06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0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4989-B3BA-4F01-8EA2-E964C3A7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Софья</cp:lastModifiedBy>
  <cp:revision>12</cp:revision>
  <dcterms:created xsi:type="dcterms:W3CDTF">2013-08-19T09:59:00Z</dcterms:created>
  <dcterms:modified xsi:type="dcterms:W3CDTF">2013-09-29T13:24:00Z</dcterms:modified>
</cp:coreProperties>
</file>