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6B" w:rsidRDefault="00557D6B">
      <w:pPr>
        <w:jc w:val="center"/>
        <w:rPr>
          <w:b/>
          <w:sz w:val="32"/>
          <w:szCs w:val="24"/>
          <w:lang w:val="ru-RU"/>
        </w:rPr>
      </w:pPr>
    </w:p>
    <w:p w:rsidR="00557D6B" w:rsidRDefault="000A0227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  <w:r w:rsidR="00AF733E">
        <w:rPr>
          <w:b/>
          <w:sz w:val="32"/>
          <w:szCs w:val="32"/>
          <w:lang w:val="ru-RU"/>
        </w:rPr>
        <w:t xml:space="preserve"> – проект (НПА)</w:t>
      </w:r>
    </w:p>
    <w:p w:rsidR="00557D6B" w:rsidRDefault="00557D6B">
      <w:pPr>
        <w:rPr>
          <w:szCs w:val="24"/>
          <w:lang w:val="ru-RU"/>
        </w:rPr>
      </w:pP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557D6B" w:rsidRDefault="000A0227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557D6B" w:rsidRDefault="000A0227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557D6B" w:rsidRDefault="000A0227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28.12.2020 № 1133</w:t>
      </w: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557D6B" w:rsidRDefault="000A0227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статьёй 179 Бюджетного Кодекса Российской Федерации, решением Совета депутатов городского поселения Лянтор от 28.12.2020 № 146 «О бюджете городского поселения Лянтор на 2021 год и на плановый период 2022-2023 годов», от 28.12.2021 № 231 «О бюджете городского поселения Лянтор на 2022 год и на плановый период 2023 и 2024 годов» (в редакции от 26.05.2022 № 262):</w:t>
      </w:r>
    </w:p>
    <w:p w:rsidR="00557D6B" w:rsidRDefault="000A0227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изменения в постановление Администрации городского поселения Лянтор от 28.12.2020 № 1133 «Об утверждении муниципальной программы «Организационное, финансовое и информационное обеспечение деятельности органов местного самоуправления городского поселения Лянтор на 2021-2023 годы» (в редакции от </w:t>
      </w:r>
      <w:r w:rsidR="00AF733E">
        <w:rPr>
          <w:sz w:val="28"/>
          <w:szCs w:val="28"/>
          <w:lang w:val="ru-RU"/>
        </w:rPr>
        <w:t>28.06.2022 № 552</w:t>
      </w:r>
      <w:r>
        <w:rPr>
          <w:sz w:val="28"/>
          <w:szCs w:val="28"/>
          <w:lang w:val="ru-RU"/>
        </w:rPr>
        <w:t>), изложив приложение к постановлению в редакции согласно приложению к настоящему постановлению.</w:t>
      </w:r>
    </w:p>
    <w:p w:rsidR="00557D6B" w:rsidRDefault="000A0227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557D6B" w:rsidRDefault="000A0227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выполнением постановления возложить на начальника управления по организации деятельности Парамонову М.В.</w:t>
      </w: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AF733E" w:rsidRDefault="00AF73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исполняющий </w:t>
      </w:r>
      <w:r w:rsidR="00267AC4">
        <w:rPr>
          <w:sz w:val="28"/>
          <w:szCs w:val="28"/>
          <w:lang w:val="ru-RU"/>
        </w:rPr>
        <w:t>обязанности</w:t>
      </w:r>
    </w:p>
    <w:p w:rsidR="00557D6B" w:rsidRDefault="000A0227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AF733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267AC4">
        <w:rPr>
          <w:sz w:val="28"/>
          <w:szCs w:val="28"/>
          <w:lang w:val="ru-RU"/>
        </w:rPr>
        <w:t>А.Н. Сысолятина</w:t>
      </w: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557D6B" w:rsidRDefault="00557D6B">
      <w:pPr>
        <w:shd w:val="clear" w:color="auto" w:fill="FFFFFF"/>
        <w:rPr>
          <w:color w:val="000000"/>
          <w:spacing w:val="-1"/>
          <w:sz w:val="28"/>
          <w:szCs w:val="28"/>
          <w:lang w:val="ru-RU"/>
        </w:rPr>
      </w:pP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AF733E" w:rsidRDefault="00AF733E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267AC4" w:rsidRDefault="00267AC4">
      <w:pPr>
        <w:jc w:val="both"/>
        <w:outlineLvl w:val="0"/>
        <w:rPr>
          <w:sz w:val="28"/>
          <w:szCs w:val="28"/>
          <w:lang w:val="ru-RU"/>
        </w:rPr>
      </w:pPr>
    </w:p>
    <w:p w:rsidR="00557D6B" w:rsidRDefault="00557D6B">
      <w:pPr>
        <w:jc w:val="both"/>
        <w:outlineLvl w:val="0"/>
        <w:rPr>
          <w:sz w:val="28"/>
          <w:szCs w:val="28"/>
          <w:lang w:val="ru-RU"/>
        </w:rPr>
      </w:pPr>
    </w:p>
    <w:p w:rsidR="00557D6B" w:rsidRDefault="000A0227">
      <w:pPr>
        <w:widowControl w:val="0"/>
        <w:ind w:left="5670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Приложение к постановлению Администрации городского</w:t>
      </w:r>
    </w:p>
    <w:p w:rsidR="00557D6B" w:rsidRDefault="000A0227">
      <w:pPr>
        <w:widowControl w:val="0"/>
        <w:ind w:left="5670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557D6B" w:rsidRDefault="000A0227">
      <w:pPr>
        <w:widowControl w:val="0"/>
        <w:ind w:left="5670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от «</w:t>
      </w:r>
      <w:r w:rsidR="00AF733E">
        <w:rPr>
          <w:rFonts w:eastAsiaTheme="minorEastAsia"/>
          <w:sz w:val="22"/>
          <w:szCs w:val="22"/>
          <w:lang w:val="ru-RU"/>
        </w:rPr>
        <w:t xml:space="preserve">    </w:t>
      </w:r>
      <w:r>
        <w:rPr>
          <w:rFonts w:eastAsiaTheme="minorEastAsia"/>
          <w:sz w:val="22"/>
          <w:szCs w:val="22"/>
          <w:lang w:val="ru-RU"/>
        </w:rPr>
        <w:t xml:space="preserve">» </w:t>
      </w:r>
      <w:r w:rsidR="00AF733E">
        <w:rPr>
          <w:rFonts w:eastAsiaTheme="minorEastAsia"/>
          <w:sz w:val="22"/>
          <w:szCs w:val="22"/>
          <w:lang w:val="ru-RU"/>
        </w:rPr>
        <w:t>ноября</w:t>
      </w:r>
      <w:r>
        <w:rPr>
          <w:rFonts w:eastAsiaTheme="minorEastAsia"/>
          <w:sz w:val="22"/>
          <w:szCs w:val="22"/>
          <w:lang w:val="ru-RU"/>
        </w:rPr>
        <w:t xml:space="preserve"> 2022 года № </w:t>
      </w:r>
    </w:p>
    <w:p w:rsidR="00557D6B" w:rsidRDefault="00557D6B">
      <w:pPr>
        <w:widowControl w:val="0"/>
        <w:jc w:val="both"/>
        <w:rPr>
          <w:rFonts w:eastAsiaTheme="minorEastAsia"/>
          <w:lang w:val="ru-RU"/>
        </w:rPr>
      </w:pPr>
      <w:bookmarkStart w:id="0" w:name="sub_20001"/>
    </w:p>
    <w:p w:rsidR="00557D6B" w:rsidRDefault="000A0227">
      <w:pPr>
        <w:keepNext/>
        <w:widowControl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557D6B" w:rsidRDefault="000A0227">
      <w:pPr>
        <w:widowControl w:val="0"/>
        <w:jc w:val="center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557D6B" w:rsidRDefault="000A0227">
      <w:pPr>
        <w:widowControl w:val="0"/>
        <w:jc w:val="center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(далее – муниципальная программа)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outlineLvl w:val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Организационное, финансовое и информационное обеспечение деятельности органов местного самоуправления городского поселения Лянтор на 2021-2023 годы</w:t>
            </w:r>
          </w:p>
        </w:tc>
      </w:tr>
      <w:tr w:rsidR="00557D6B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Координатор муниципальной программы 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Соисполнители муниципальной программы 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экономики, управление бюджетного учета и отчетности, муниципальное казённое учреждение «Лянторское управление по культуре, спорту и делам молодежи»</w:t>
            </w:r>
          </w:p>
        </w:tc>
      </w:tr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Участники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по организации деятельности, управление экономики, управление бюджетного учета и отчетности, муниципальное казённое учреждение «Лянторское управление по культуре, спорту и делам молодежи»</w:t>
            </w:r>
          </w:p>
        </w:tc>
      </w:tr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Цели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Создание условий для развития, совершенствования и повышения эффективности деятельности органов местного самоуправления городского поселения Лянтор</w:t>
            </w:r>
          </w:p>
        </w:tc>
      </w:tr>
      <w:tr w:rsidR="00557D6B" w:rsidRPr="008E22C2">
        <w:trPr>
          <w:trHeight w:val="3509"/>
        </w:trPr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Задачи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Создание условий для осуществления эффективной деятельности органов местного самоуправления городского поселения Лянтор </w:t>
            </w:r>
          </w:p>
          <w:p w:rsidR="00557D6B" w:rsidRDefault="000A0227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Организационное и материально-техническое обеспечение официальных мероприятий, проводимых органами местного самоуправления </w:t>
            </w:r>
          </w:p>
          <w:p w:rsidR="00557D6B" w:rsidRDefault="000A0227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3. Обеспечение открытости и доступности информации о деятельности органов местного самоуправления</w:t>
            </w:r>
          </w:p>
          <w:p w:rsidR="00557D6B" w:rsidRDefault="000A0227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  Формирование и содержание архива муниципального образования городское поселение Лянтор</w:t>
            </w:r>
          </w:p>
        </w:tc>
      </w:tr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- уровень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удовлетворенности населения деятельностью органов местного самоуправления, %;</w:t>
            </w:r>
          </w:p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района,  %;</w:t>
            </w:r>
          </w:p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ровень эффективности и результативности деятельности органов местного самоуправления,% </w:t>
            </w:r>
          </w:p>
          <w:p w:rsidR="00557D6B" w:rsidRDefault="000A0227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доля населения, получившего информацию о деятельности органов местного самоуправления посредством СМИ, %;</w:t>
            </w:r>
          </w:p>
          <w:p w:rsidR="00557D6B" w:rsidRDefault="000A0227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доля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>
              <w:rPr>
                <w:sz w:val="24"/>
                <w:szCs w:val="24"/>
                <w:lang w:val="ru-RU"/>
              </w:rPr>
              <w:t>, получивших муниципальные услуги надлежавшего качества, из числа обратившихся в архив, %;</w:t>
            </w:r>
          </w:p>
        </w:tc>
      </w:tr>
      <w:tr w:rsidR="00557D6B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 муниципальной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2021-202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Объём финансирования муниципальной программы в 2021 - 2023 годах -  </w:t>
            </w:r>
            <w:r w:rsidR="00AF733E">
              <w:rPr>
                <w:sz w:val="24"/>
                <w:szCs w:val="24"/>
                <w:lang w:val="ru-RU"/>
              </w:rPr>
              <w:t>362 791,74</w:t>
            </w:r>
            <w:r>
              <w:rPr>
                <w:sz w:val="24"/>
                <w:szCs w:val="24"/>
                <w:lang w:val="ru-RU"/>
              </w:rPr>
              <w:t xml:space="preserve"> тыс. рублей, в том числе:</w:t>
            </w:r>
          </w:p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за счёт средств федерального бюджета – </w:t>
            </w:r>
            <w:r w:rsidR="00AF733E">
              <w:rPr>
                <w:sz w:val="24"/>
                <w:szCs w:val="24"/>
                <w:lang w:val="ru-RU"/>
              </w:rPr>
              <w:t>16 694,55</w:t>
            </w:r>
            <w:r>
              <w:rPr>
                <w:sz w:val="24"/>
                <w:szCs w:val="24"/>
                <w:lang w:val="ru-RU"/>
              </w:rPr>
              <w:t xml:space="preserve"> тыс. рублей</w:t>
            </w:r>
          </w:p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за счёт средств бюджета городского поселения Лянтор – </w:t>
            </w:r>
            <w:r w:rsidR="00AF733E">
              <w:rPr>
                <w:sz w:val="24"/>
                <w:szCs w:val="24"/>
                <w:lang w:val="ru-RU"/>
              </w:rPr>
              <w:t>340 459,18</w:t>
            </w:r>
            <w:r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за счёт средств, предоставленных бюджетом Сургутского района – </w:t>
            </w:r>
            <w:r w:rsidR="00AF733E">
              <w:rPr>
                <w:rFonts w:eastAsiaTheme="minorEastAsia"/>
                <w:sz w:val="24"/>
                <w:szCs w:val="24"/>
                <w:lang w:val="ru-RU"/>
              </w:rPr>
              <w:t>5 638,01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тыс. рублей</w:t>
            </w:r>
          </w:p>
          <w:p w:rsidR="00557D6B" w:rsidRDefault="000A0227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557D6B" w:rsidRDefault="000A0227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- 2021 год – 118 601,02 тыс. рублей;</w:t>
            </w:r>
          </w:p>
          <w:p w:rsidR="00557D6B" w:rsidRDefault="000A0227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- 2022 год – </w:t>
            </w:r>
            <w:r w:rsidR="00AF733E">
              <w:rPr>
                <w:sz w:val="24"/>
                <w:szCs w:val="24"/>
                <w:lang w:val="ru-RU"/>
              </w:rPr>
              <w:t>125 677,02</w:t>
            </w:r>
            <w:r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57D6B" w:rsidRDefault="000A0227">
            <w:pPr>
              <w:ind w:left="-55" w:firstLine="55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- 2023 год – 118 513,70 тыс. рублей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57D6B" w:rsidRPr="008E22C2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увеличение уровня у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довлетворенности населения деятельностью органов местного самоуправления от 45 до 70 %;</w:t>
            </w:r>
          </w:p>
          <w:p w:rsidR="00557D6B" w:rsidRDefault="000A0227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сохранение достижения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 на уровне 100%;</w:t>
            </w:r>
          </w:p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сохранение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эффективности и результативности деятельности органов местного самоуправления на уровне 100% </w:t>
            </w:r>
          </w:p>
          <w:p w:rsidR="00557D6B" w:rsidRDefault="000A0227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 Сохранение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доли населения, получившего информацию о деятельности органов местного самоуправления посредством СМИ на уровне 100 %;</w:t>
            </w:r>
          </w:p>
          <w:p w:rsidR="00557D6B" w:rsidRDefault="000A0227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сохранение </w:t>
            </w:r>
            <w:r>
              <w:rPr>
                <w:sz w:val="24"/>
                <w:szCs w:val="24"/>
                <w:lang w:val="ru-RU"/>
              </w:rPr>
              <w:t xml:space="preserve">доли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>
              <w:rPr>
                <w:sz w:val="24"/>
                <w:szCs w:val="24"/>
                <w:lang w:val="ru-RU"/>
              </w:rPr>
              <w:t>, получивших муниципальные услуги надлежавшего качества, из числа обратившихся в архив, на уровне 100 %;</w:t>
            </w:r>
          </w:p>
        </w:tc>
      </w:tr>
      <w:tr w:rsidR="00557D6B">
        <w:tc>
          <w:tcPr>
            <w:tcW w:w="4786" w:type="dxa"/>
          </w:tcPr>
          <w:p w:rsidR="00557D6B" w:rsidRDefault="000A0227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Подпрограммы  муниципальной программы</w:t>
            </w:r>
          </w:p>
        </w:tc>
        <w:tc>
          <w:tcPr>
            <w:tcW w:w="5137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557D6B">
        <w:trPr>
          <w:trHeight w:val="417"/>
        </w:trPr>
        <w:tc>
          <w:tcPr>
            <w:tcW w:w="4786" w:type="dxa"/>
          </w:tcPr>
          <w:p w:rsidR="00557D6B" w:rsidRDefault="000A0227">
            <w:pPr>
              <w:widowControl w:val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проекты,</w:t>
            </w:r>
          </w:p>
          <w:p w:rsidR="00557D6B" w:rsidRDefault="000A0227">
            <w:pPr>
              <w:widowControl w:val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557D6B" w:rsidRDefault="000A0227">
            <w:pPr>
              <w:widowControl w:val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557D6B" w:rsidRDefault="000A022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557D6B">
        <w:trPr>
          <w:trHeight w:val="417"/>
        </w:trPr>
        <w:tc>
          <w:tcPr>
            <w:tcW w:w="4786" w:type="dxa"/>
          </w:tcPr>
          <w:p w:rsidR="00557D6B" w:rsidRDefault="000A0227">
            <w:pPr>
              <w:widowControl w:val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557D6B" w:rsidRDefault="000A0227">
            <w:pPr>
              <w:widowControl w:val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557D6B" w:rsidRDefault="000A022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557D6B" w:rsidRDefault="00557D6B">
      <w:pPr>
        <w:widowControl w:val="0"/>
        <w:ind w:firstLine="720"/>
        <w:jc w:val="both"/>
        <w:rPr>
          <w:rFonts w:eastAsiaTheme="minorEastAsia"/>
          <w:lang w:val="ru-RU"/>
        </w:rPr>
        <w:sectPr w:rsidR="00557D6B" w:rsidSect="00AF733E">
          <w:pgSz w:w="11905" w:h="16837"/>
          <w:pgMar w:top="284" w:right="565" w:bottom="567" w:left="1440" w:header="720" w:footer="680" w:gutter="0"/>
          <w:pgNumType w:start="1"/>
          <w:cols w:space="720"/>
          <w:titlePg/>
          <w:docGrid w:linePitch="360"/>
        </w:sectPr>
      </w:pPr>
    </w:p>
    <w:p w:rsidR="00557D6B" w:rsidRDefault="000A0227">
      <w:pPr>
        <w:keepNext/>
        <w:widowControl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  <w:bookmarkEnd w:id="0"/>
    </w:p>
    <w:p w:rsidR="00557D6B" w:rsidRDefault="00557D6B">
      <w:pPr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557D6B" w:rsidRDefault="000A0227">
      <w:pPr>
        <w:ind w:firstLine="709"/>
        <w:jc w:val="both"/>
        <w:outlineLvl w:val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1.1. Муниципальная программа городского поселения Лянтор «</w:t>
      </w:r>
      <w:r>
        <w:rPr>
          <w:sz w:val="28"/>
          <w:szCs w:val="28"/>
          <w:lang w:val="ru-RU"/>
        </w:rPr>
        <w:t>Организационное, финансовое и информационное обеспечение деятельности органов местного самоуправления городского поселении Лянтор в 2021-2023 годах</w:t>
      </w:r>
      <w:r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>
        <w:rPr>
          <w:rFonts w:eastAsiaTheme="minorEastAsia"/>
          <w:i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разработана в целях реализации </w:t>
      </w:r>
      <w:r>
        <w:rPr>
          <w:color w:val="000000" w:themeColor="text1"/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 w:eastAsia="en-US"/>
        </w:rPr>
        <w:t xml:space="preserve"> Федерального закона от 09.02.2009 № 8-ФЗ «Об обеспечении доступа к  информации о деятельности государственных органов и органов местного самоуправления», Устава городского поселения Лянтор</w:t>
      </w:r>
      <w:r>
        <w:rPr>
          <w:rFonts w:eastAsiaTheme="minorEastAsia"/>
          <w:sz w:val="28"/>
          <w:szCs w:val="28"/>
          <w:lang w:val="ru-RU"/>
        </w:rPr>
        <w:t>.</w:t>
      </w:r>
    </w:p>
    <w:p w:rsidR="00557D6B" w:rsidRDefault="00557D6B">
      <w:pPr>
        <w:jc w:val="both"/>
        <w:outlineLvl w:val="0"/>
        <w:rPr>
          <w:rFonts w:eastAsiaTheme="minorEastAsia"/>
          <w:sz w:val="28"/>
          <w:szCs w:val="28"/>
          <w:lang w:val="ru-RU"/>
        </w:rPr>
      </w:pPr>
    </w:p>
    <w:p w:rsidR="00557D6B" w:rsidRDefault="000A0227">
      <w:pPr>
        <w:tabs>
          <w:tab w:val="left" w:pos="1418"/>
        </w:tabs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>1.2.  Характеристика текущего состояния сферы социально-экономического развития городского поселения Лянтор (далее – муниципальное образование) по направлению реализации муниципальной программы.</w:t>
      </w: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spacing w:val="2"/>
          <w:sz w:val="28"/>
          <w:szCs w:val="28"/>
          <w:shd w:val="clear" w:color="auto" w:fill="FFFFFF"/>
          <w:lang w:val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определяется тем, что самоуправление наиболее приближено к населению, решает вопросы удовлетворения основных жизненных потребностей населения, им формируется и ему непосредственно подконтрольно.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557D6B" w:rsidRDefault="000A0227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 повышения эффективности деятельности органов местного самоуправления носит комплексный характер и предусматривает, в первую очередь, функциональный подход в управлении, при котором орган местного самоуправления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требует предоставления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557D6B" w:rsidRDefault="000A0227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Структуру органов местного самоуправления в городском поселении Лянтор составляют представительный орган муниципального образования – Совет депутатов, Глава муниципального образования, исполнительно-распорядительный орган муниципального образования – Администрация городского поселения Лянтор (далее-Администрация города).</w:t>
      </w:r>
    </w:p>
    <w:p w:rsidR="00557D6B" w:rsidRDefault="000A0227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Подведомственное Администрации города муниципальное казённое учреждение «Лянторское управление по культуре, спорту и делам молодежи» (далее – МКУ «Управление культуры и спорта») выполняет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по обеспечению условий для развития на территории городского поселения физической культуры и массового спорта; по организации досуга и обеспечению жителей 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557D6B" w:rsidRDefault="000A0227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выполнения возложенных на органы местного самоуправления полномочий по решению вопросов местного значения необходимо качественное организационное обеспечение их деятельности.</w:t>
      </w:r>
    </w:p>
    <w:p w:rsidR="00557D6B" w:rsidRDefault="000A0227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Информационная прозрачность деятельности органов местного самоуправления достигается при помощи средств массовой информации. </w:t>
      </w:r>
    </w:p>
    <w:p w:rsidR="00557D6B" w:rsidRDefault="000A0227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современных условиях показатель удовлетворенности населения деятельностью органов местного самоуправления, в том числе их информационной открытостью, обозначен как один из основных показателей оценки эффективности деятельности органов местного самоуправления.</w:t>
      </w:r>
    </w:p>
    <w:p w:rsidR="00557D6B" w:rsidRDefault="000A0227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Информационное поле муниципального образования сегодня представлено официальным сайтом Администрации города, печатным изданием «Лянторская газета», «Город/Информационный портал» в социальных сетях, Пресс-служба Главы города Лянтор.</w:t>
      </w:r>
    </w:p>
    <w:p w:rsidR="00557D6B" w:rsidRDefault="000A0227">
      <w:pPr>
        <w:ind w:firstLine="53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интернет-сайте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admlyantor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 xml:space="preserve"> регулярно публикуется информация о деятельности органов местного самоуправления муниципального образования, нормативная база, иная информация, размещаемая в соответствии с требованиями федерального законодательства. «Лянторская газета» объективно и актуально рассказывает о социально-экономической, культурной, спортивной жизни города. В официальных выпусках печатного издания публикуются нормативные правовые акты Совета депутатов и Администрации города.</w:t>
      </w:r>
    </w:p>
    <w:p w:rsidR="00557D6B" w:rsidRDefault="000A0227">
      <w:pPr>
        <w:ind w:firstLine="53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«Город/Информационный портал» в социальных сетях   систематически наполняется актуальной и социально значимой информацией о деятельности органов местного самоуправления, важных событиях в жизни города. </w:t>
      </w:r>
    </w:p>
    <w:p w:rsidR="00557D6B" w:rsidRDefault="000A0227">
      <w:pPr>
        <w:ind w:firstLine="53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такого комплекса информационных ресурсов позволяет в современных условиях максимально оперативно реагировать на социально-политические, экономические процессы, происходящие в городском сообществе.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Информационное обеспечение муниципального управления в современных условиях невозможно без использования современных информационных технологий, программных средств, баз данных и систем управления ими (приобретение неисключительных (пользовательских) прав на программное обеспечение, приобретение и обновление справочно-информационных баз данных) и электросвязи подвижной радиотелефонной связи оказание услуг по передаче данных с юридическим лицом (интернет)). Органы местного самоуправления города Лянтор бесперебойно обеспечиваются услугами информационных технологий и электросвязи, а также услугами почтовой и телеграфной связи. 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соглашения от 11.01.2021 № 15 «О передаче осуществления части полномочий органов местного самоуправления муниципального образования Сургутский район муниципальный район Ханты-Мансийского автономного округа-Югры органам местного самоуправления муниципального образования городское поселения Лянтор» органы местного самоуправления наделены полномочиями по формированию и содержанию муниципального архива в части архивного фонда поселения, включая хранение архивного фонда поселения.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Основными направлениями деятельности архива являются комплектование, хранение, учёт и использования документов архивного фонда города, отражающих материальную и духовную жизнь его населения, имеющих историческое, научное, социальное, экономическое, политическое и культурное значение. Архивные фонды муниципального образования являются составной частью архивного фонда Ханты-Мансийского автономного округа - Югры.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Администрация города предоставляет муниципальные услуги «Предоставление архивных справок, архивных выписок, копий архивных документов» и «Приём и хранение документов физических и юридических лиц». 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Одной из основных функций архива является осуществление работ по его комплектованию документами по личному составу. Ежегодно архив осуществляет прием документов от предприятий и учреждений в количестве не менее 150 единиц хранения в соответствии с Федеральным законом от 22.10.2004 № 125 - ФЗ «Об архивном деле в Российской Федерации». 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создание условий качественного организационного и информационного обеспечения  деятельности органов местного самоуправления города Лянтор в настоящее время является одним из ряда приоритетных и в конечном итоге направленным на качественное решение вопросов местного значения муниципального образования.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«Организационное, финансовое и информационное обеспечение деятельности органов местного самоуправления городского поселения Лянтор на 2021-2023 годы» планируется достижение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показателей  реализации вышеперечисленных задач:</w:t>
      </w:r>
    </w:p>
    <w:p w:rsidR="00557D6B" w:rsidRDefault="000A0227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степени оценки эффективности деятельности органов местного самоуправления, через увеличение уровня удовлетворенности населения деятельностью органов местного самоуправления.</w:t>
      </w:r>
    </w:p>
    <w:p w:rsidR="00557D6B" w:rsidRDefault="00557D6B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1.3. Цель (цели) муниципальной программы.</w:t>
      </w:r>
    </w:p>
    <w:p w:rsidR="00557D6B" w:rsidRDefault="000A0227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муниципальной программы является с</w:t>
      </w:r>
      <w:r>
        <w:rPr>
          <w:rFonts w:eastAsiaTheme="minorHAnsi"/>
          <w:sz w:val="28"/>
          <w:szCs w:val="28"/>
          <w:lang w:val="ru-RU" w:eastAsia="en-US"/>
        </w:rPr>
        <w:t>оздание условий для развития, совершенствования и повышения эффективности деятельности органов местного самоуправления городского поселения Лянтор.</w:t>
      </w:r>
    </w:p>
    <w:p w:rsidR="00557D6B" w:rsidRDefault="000A0227">
      <w:pPr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  <w:r>
        <w:rPr>
          <w:rFonts w:eastAsiaTheme="minorEastAsia"/>
          <w:i/>
          <w:sz w:val="28"/>
          <w:szCs w:val="28"/>
          <w:lang w:val="ru-RU"/>
        </w:rPr>
        <w:t xml:space="preserve"> </w:t>
      </w: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1.4. Показатели конечных результатов цели (целей) муниципальной программы.</w:t>
      </w:r>
    </w:p>
    <w:p w:rsidR="00557D6B" w:rsidRDefault="000A0227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557D6B" w:rsidRDefault="000A0227">
      <w:pPr>
        <w:pStyle w:val="af3"/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>
        <w:rPr>
          <w:rFonts w:eastAsiaTheme="minorHAnsi"/>
          <w:sz w:val="28"/>
          <w:szCs w:val="28"/>
          <w:lang w:eastAsia="en-US"/>
        </w:rPr>
        <w:t>удовлетворенности населения деятельностью органов местного самоуправления, %.</w:t>
      </w:r>
    </w:p>
    <w:p w:rsidR="00557D6B" w:rsidRDefault="000A0227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557D6B" w:rsidRDefault="000A0227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557D6B" w:rsidRDefault="00557D6B">
      <w:pPr>
        <w:ind w:firstLine="720"/>
        <w:jc w:val="both"/>
        <w:rPr>
          <w:rFonts w:eastAsiaTheme="minorEastAsia"/>
          <w:lang w:val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57D6B" w:rsidRPr="008E22C2">
        <w:tc>
          <w:tcPr>
            <w:tcW w:w="3296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</w:t>
            </w:r>
          </w:p>
        </w:tc>
      </w:tr>
      <w:tr w:rsidR="00557D6B">
        <w:tc>
          <w:tcPr>
            <w:tcW w:w="3296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Уровень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удовлетворенности населения деятельностью органов местного самоуправления</w:t>
            </w:r>
          </w:p>
        </w:tc>
        <w:tc>
          <w:tcPr>
            <w:tcW w:w="3296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557D6B" w:rsidRDefault="00557D6B">
      <w:pPr>
        <w:jc w:val="both"/>
        <w:rPr>
          <w:rFonts w:eastAsiaTheme="minorEastAsia"/>
          <w:sz w:val="28"/>
          <w:szCs w:val="28"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1.5. Задачи муниципальной программы.</w:t>
      </w:r>
    </w:p>
    <w:p w:rsidR="00557D6B" w:rsidRDefault="000A022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Достижение цели планируется осуществить через реализацию четырех задач:</w:t>
      </w:r>
    </w:p>
    <w:p w:rsidR="00557D6B" w:rsidRDefault="000A0227">
      <w:pPr>
        <w:tabs>
          <w:tab w:val="left" w:pos="317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создание условий для осуществления эффективной деятельности органов местного самоуправления городского поселения Лянтор; </w:t>
      </w:r>
    </w:p>
    <w:p w:rsidR="00557D6B" w:rsidRDefault="000A02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 о</w:t>
      </w:r>
      <w:r>
        <w:rPr>
          <w:rFonts w:eastAsiaTheme="minorHAnsi"/>
          <w:sz w:val="28"/>
          <w:szCs w:val="28"/>
          <w:lang w:val="ru-RU" w:eastAsia="en-US"/>
        </w:rPr>
        <w:t xml:space="preserve">рганизационное и материально-техническое обеспечение официальных мероприятий, проводимых органами местного самоуправления; </w:t>
      </w:r>
    </w:p>
    <w:p w:rsidR="00557D6B" w:rsidRDefault="000A02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обеспечение открытости и доступности информации о деятельности органов местного самоуправления;</w:t>
      </w:r>
    </w:p>
    <w:p w:rsidR="00557D6B" w:rsidRDefault="000A022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-формирование и содержание архива муниципального образования городское поселение Лянтор.</w:t>
      </w:r>
    </w:p>
    <w:p w:rsidR="00557D6B" w:rsidRDefault="00557D6B">
      <w:pPr>
        <w:ind w:firstLine="567"/>
        <w:jc w:val="both"/>
        <w:rPr>
          <w:rFonts w:eastAsiaTheme="minorEastAsia"/>
          <w:i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1.6. Показатели непосредственных результатов задач муниципальной программы.</w:t>
      </w:r>
    </w:p>
    <w:p w:rsidR="00557D6B" w:rsidRDefault="000A0227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557D6B" w:rsidRDefault="000A0227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района,  %;</w:t>
      </w:r>
    </w:p>
    <w:p w:rsidR="00557D6B" w:rsidRDefault="000A0227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eastAsiaTheme="minorHAnsi"/>
          <w:sz w:val="28"/>
          <w:szCs w:val="28"/>
          <w:lang w:val="ru-RU" w:eastAsia="en-US"/>
        </w:rPr>
        <w:t>у</w:t>
      </w:r>
      <w:r>
        <w:rPr>
          <w:rFonts w:eastAsiaTheme="minorEastAsia"/>
          <w:sz w:val="28"/>
          <w:szCs w:val="28"/>
          <w:lang w:val="ru-RU"/>
        </w:rPr>
        <w:t xml:space="preserve">ровень эффективности и результативности деятельности органов местного самоуправления, %; </w:t>
      </w:r>
    </w:p>
    <w:p w:rsidR="00557D6B" w:rsidRDefault="000A0227">
      <w:pPr>
        <w:tabs>
          <w:tab w:val="left" w:pos="459"/>
          <w:tab w:val="left" w:pos="899"/>
        </w:tabs>
        <w:ind w:firstLine="567"/>
        <w:jc w:val="both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>доля населения, получившего информацию о деятельности органов местного самоуправления посредством СМИ, %;</w:t>
      </w:r>
    </w:p>
    <w:p w:rsidR="00557D6B" w:rsidRDefault="000A0227">
      <w:pPr>
        <w:ind w:firstLine="567"/>
        <w:jc w:val="both"/>
        <w:rPr>
          <w:sz w:val="24"/>
          <w:szCs w:val="24"/>
          <w:lang w:val="ru-RU"/>
        </w:rPr>
      </w:pPr>
      <w:r>
        <w:rPr>
          <w:rFonts w:eastAsiaTheme="minorEastAsia"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доля </w:t>
      </w:r>
      <w:r>
        <w:rPr>
          <w:rFonts w:eastAsiaTheme="minorHAnsi"/>
          <w:sz w:val="28"/>
          <w:szCs w:val="28"/>
          <w:lang w:val="ru-RU" w:eastAsia="en-US"/>
        </w:rPr>
        <w:t>граждан</w:t>
      </w:r>
      <w:r>
        <w:rPr>
          <w:sz w:val="28"/>
          <w:szCs w:val="28"/>
          <w:lang w:val="ru-RU"/>
        </w:rPr>
        <w:t>, получивших муниципальные услуги надлежавшего качества, из числа обратившихся в архив,  %.</w:t>
      </w:r>
    </w:p>
    <w:p w:rsidR="00557D6B" w:rsidRDefault="000A0227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 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557D6B" w:rsidRDefault="00557D6B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57D6B" w:rsidRPr="008E22C2">
        <w:tc>
          <w:tcPr>
            <w:tcW w:w="3296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557D6B" w:rsidRPr="008E22C2">
        <w:tc>
          <w:tcPr>
            <w:tcW w:w="3296" w:type="dxa"/>
          </w:tcPr>
          <w:p w:rsidR="00557D6B" w:rsidRDefault="000A0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Достижение наилучших значений показателей деятельности органов местного самоуправления, превышающих среднее значение среди муниципальных образований Сургутского района (в сопоставимых показателях), (%);</w:t>
            </w:r>
          </w:p>
          <w:p w:rsidR="00557D6B" w:rsidRDefault="00557D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  <w:vAlign w:val="center"/>
          </w:tcPr>
          <w:p w:rsidR="00557D6B" w:rsidRDefault="000A0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 (ЗМП) = ОКБП (МО гп Лянтор) / ОКБП сред. (МР СР) * 100%, где:</w:t>
            </w:r>
          </w:p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П(ЗМП) - значение показателя «Достижение наилучших значений показателей деятельности органов местного самоуправления, превышающих среднее значение среди муниципальных образований Сургутского района (в сопоставимых показателях), (%)»;</w:t>
            </w:r>
          </w:p>
          <w:p w:rsidR="00557D6B" w:rsidRDefault="000A02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ОКБП (МО гп Лянтор) - фактически достигнутое значение показателя сводной оценки деятельности органов местного самоуправления городского поселения по результатам мониторинга, проводимого департаментом финансов администрации Сургутского района</w:t>
            </w:r>
          </w:p>
        </w:tc>
        <w:tc>
          <w:tcPr>
            <w:tcW w:w="3297" w:type="dxa"/>
          </w:tcPr>
          <w:p w:rsidR="00557D6B" w:rsidRDefault="000A0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департамента финансов администрации Сургутского района  </w:t>
            </w:r>
          </w:p>
          <w:p w:rsidR="00557D6B" w:rsidRDefault="000A0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 утверждении расчета фактического объема и распределении иных межбюджетных трансфертов (грантов) за достижение наилучших значений показателей деятельности органов местного самоуправления городских и сельских поселений Сургутского района за отчетный год».</w:t>
            </w:r>
          </w:p>
          <w:p w:rsidR="00557D6B" w:rsidRDefault="000A0227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 на официальном сайте администрации Сургутского района</w:t>
            </w:r>
          </w:p>
        </w:tc>
      </w:tr>
      <w:tr w:rsidR="00557D6B" w:rsidRPr="008E22C2">
        <w:trPr>
          <w:trHeight w:val="2684"/>
        </w:trPr>
        <w:tc>
          <w:tcPr>
            <w:tcW w:w="3296" w:type="dxa"/>
          </w:tcPr>
          <w:p w:rsidR="00557D6B" w:rsidRDefault="000A0227">
            <w:pPr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Уровень эффективности и результативности деятельности органов местного самоуправления, (%)</w:t>
            </w:r>
          </w:p>
        </w:tc>
        <w:tc>
          <w:tcPr>
            <w:tcW w:w="3296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Расчёт производится на основании выполнения работниками Администрации городского поселения Лянтор показателей эффективности и результативности деятельности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не менее чем на 90 %.</w:t>
            </w:r>
          </w:p>
          <w:p w:rsidR="00557D6B" w:rsidRDefault="00557D6B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57D6B" w:rsidRDefault="00557D6B">
            <w:pPr>
              <w:widowControl w:val="0"/>
              <w:rPr>
                <w:rFonts w:ascii="Times New Roman CYR" w:hAnsi="Times New Roman CYR" w:cs="Times New Roman CYR"/>
                <w:b/>
                <w:i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Положение о денежном содержании, утвержденное решением Совета депутатов городского поселения Лянтор 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от 29.09.2015 № 144 (в части выплат  денежного поощрения по итогам работы за месяц, квартал, год)</w:t>
            </w:r>
          </w:p>
        </w:tc>
      </w:tr>
      <w:tr w:rsidR="00557D6B" w:rsidRPr="008E22C2">
        <w:tc>
          <w:tcPr>
            <w:tcW w:w="3296" w:type="dxa"/>
          </w:tcPr>
          <w:p w:rsidR="00557D6B" w:rsidRDefault="000A0227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населения, получившего информацию о деятельности органов местного самоуправления посредством СМИ </w:t>
            </w:r>
          </w:p>
          <w:p w:rsidR="00557D6B" w:rsidRDefault="00557D6B">
            <w:pPr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Показатель определяется как отношение О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= К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*100/ К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где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 xml:space="preserve">п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– количество пользователей;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- количество пользователей, получивших информацию</w:t>
            </w:r>
          </w:p>
          <w:p w:rsidR="00557D6B" w:rsidRDefault="00557D6B">
            <w:pPr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</w:tcPr>
          <w:p w:rsidR="00557D6B" w:rsidRDefault="000A0227">
            <w:pPr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сведения за отчётный период, сформированные в информационной системе учёта заявок</w:t>
            </w:r>
          </w:p>
        </w:tc>
      </w:tr>
      <w:tr w:rsidR="00557D6B" w:rsidRPr="008E22C2">
        <w:tc>
          <w:tcPr>
            <w:tcW w:w="3296" w:type="dxa"/>
          </w:tcPr>
          <w:p w:rsidR="00557D6B" w:rsidRDefault="000A0227">
            <w:pPr>
              <w:widowControl w:val="0"/>
              <w:tabs>
                <w:tab w:val="left" w:pos="993"/>
              </w:tabs>
              <w:contextualSpacing/>
              <w:outlineLvl w:val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граждан, получивших муниципальные услуги надлежащего качества, из числа обратившихся в архив</w:t>
            </w:r>
          </w:p>
        </w:tc>
        <w:tc>
          <w:tcPr>
            <w:tcW w:w="3296" w:type="dxa"/>
          </w:tcPr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 данного показателя определяется как отношение количества обращений в архив к количеству получивших услугу: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= Дн / Дс × 100%, где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– доля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обратившихся в  архив;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 - количество рассмотренных обращений;</w:t>
            </w:r>
          </w:p>
          <w:p w:rsidR="00557D6B" w:rsidRDefault="000A0227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Дс – количество выданных справок</w:t>
            </w:r>
          </w:p>
        </w:tc>
        <w:tc>
          <w:tcPr>
            <w:tcW w:w="3297" w:type="dxa"/>
          </w:tcPr>
          <w:p w:rsidR="00557D6B" w:rsidRDefault="000A0227">
            <w:pPr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Отчет работы архива организационного отдела </w:t>
            </w:r>
          </w:p>
        </w:tc>
      </w:tr>
    </w:tbl>
    <w:p w:rsidR="00557D6B" w:rsidRDefault="00557D6B">
      <w:pPr>
        <w:ind w:firstLine="709"/>
        <w:jc w:val="both"/>
        <w:rPr>
          <w:rFonts w:eastAsiaTheme="minorEastAsia"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1.7. Основные мероприятия программы:</w:t>
      </w:r>
    </w:p>
    <w:p w:rsidR="00557D6B" w:rsidRDefault="000A0227">
      <w:pPr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В целях решения задачи</w:t>
      </w:r>
      <w:r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«Создание условий для осуществления эффективной деятельности органов местного самоуправления городского поселения Лянтор</w:t>
      </w:r>
      <w:r>
        <w:rPr>
          <w:sz w:val="28"/>
          <w:szCs w:val="28"/>
          <w:lang w:val="ru-RU"/>
        </w:rPr>
        <w:t xml:space="preserve">» необходимо предусмотреть комплекс мероприятий, направленных на поддержание в городском поселении Лянтор высокого уровня деятельности </w:t>
      </w:r>
      <w:r>
        <w:rPr>
          <w:rFonts w:eastAsiaTheme="minorHAnsi"/>
          <w:sz w:val="28"/>
          <w:szCs w:val="28"/>
          <w:lang w:val="ru-RU" w:eastAsia="en-US"/>
        </w:rPr>
        <w:t xml:space="preserve">органов местного самоуправления. Значительную роль в системе деятельности органов местного самоуправления городского поселения Лянтор играет деятельность подведомственного Администрации города учреждения </w:t>
      </w:r>
      <w:r>
        <w:rPr>
          <w:sz w:val="28"/>
          <w:szCs w:val="28"/>
          <w:lang w:val="ru-RU"/>
        </w:rPr>
        <w:t>МКУ «Управление культуры и спорта» на которое возложены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обеспечению условий для развития на территории городского поселения физической культуры и массового спорта;  организацию досуга и обеспечению жителей 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По данному направлению предлагается реализация следующих основных мероприятий: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>- «</w:t>
      </w:r>
      <w:r>
        <w:rPr>
          <w:sz w:val="28"/>
          <w:szCs w:val="28"/>
          <w:lang w:val="ru-RU"/>
        </w:rPr>
        <w:t>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прочее)»;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lang w:val="ru-RU"/>
        </w:rPr>
        <w:t xml:space="preserve">- </w:t>
      </w:r>
      <w:r>
        <w:rPr>
          <w:sz w:val="28"/>
          <w:szCs w:val="28"/>
          <w:lang w:val="ru-RU"/>
        </w:rPr>
        <w:t>«Обеспечение выполнения полномочий и функций, возложенных на Администрацию города»;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«Обеспечение выполнения функций возложенных на МКУ «Управление культур и спорта».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Мероприятия, предусматриваемые по данному направлению, являются обеспечивающими и охватывают содержание работников Администрации города и МКУ «Управление культуры и спорта» в части: оплаты труда,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начислений на выплаты по оплате труда; единовременной выплаты к отпуску;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единовременной выплаты к отпуску на оздоровление;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иных выплат (в том числе единовременной выплаты при выходе на пенсию, на погребение, впервые вступившим в брак, молодым специалистам,</w:t>
      </w:r>
      <w:r>
        <w:rPr>
          <w:rFonts w:eastAsiaTheme="minorHAnsi"/>
          <w:sz w:val="28"/>
          <w:szCs w:val="28"/>
          <w:lang w:val="ru-RU" w:eastAsia="en-US"/>
        </w:rPr>
        <w:t xml:space="preserve"> пенсий, пособий, выплачиваемых работодателями бывшим работникам, </w:t>
      </w:r>
      <w:r>
        <w:rPr>
          <w:sz w:val="28"/>
          <w:szCs w:val="28"/>
          <w:lang w:val="ru-RU"/>
        </w:rPr>
        <w:t xml:space="preserve">оплаты стоимости проезда к месту использования отпуска и обратно, а также других расходов, связанных с осуществлением текущей деятельности).  </w:t>
      </w:r>
    </w:p>
    <w:p w:rsidR="00557D6B" w:rsidRDefault="00557D6B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</w:p>
    <w:p w:rsidR="00557D6B" w:rsidRDefault="000A02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по организационному и материально-техническому обеспечению официальных мероприятий, проводимых органами местного самоуправления, осуществляется посредством реализации основных мероприятий:</w:t>
      </w:r>
    </w:p>
    <w:p w:rsidR="00557D6B" w:rsidRDefault="000A02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</w:t>
      </w:r>
      <w:r>
        <w:rPr>
          <w:rFonts w:eastAsiaTheme="minorHAnsi"/>
          <w:sz w:val="28"/>
          <w:szCs w:val="28"/>
          <w:lang w:val="ru-RU" w:eastAsia="en-US"/>
        </w:rPr>
        <w:t>Осуществление представительских расходов</w:t>
      </w:r>
      <w:r>
        <w:rPr>
          <w:sz w:val="28"/>
          <w:szCs w:val="28"/>
          <w:lang w:val="ru-RU"/>
        </w:rPr>
        <w:t>»;</w:t>
      </w:r>
    </w:p>
    <w:p w:rsidR="00557D6B" w:rsidRDefault="000A02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«Осуществление командировочных расходов». </w:t>
      </w:r>
    </w:p>
    <w:p w:rsidR="00557D6B" w:rsidRDefault="000A022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задачи по обеспечению открытости и доступности информации о деятельности органов местного самоуправления осуществляется посредством реализации следующих основных мероприятий:</w:t>
      </w:r>
    </w:p>
    <w:p w:rsidR="00557D6B" w:rsidRDefault="000A0227">
      <w:pPr>
        <w:pStyle w:val="af3"/>
        <w:widowControl w:val="0"/>
        <w:numPr>
          <w:ilvl w:val="0"/>
          <w:numId w:val="16"/>
        </w:numPr>
        <w:ind w:left="993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освещение деятельности органов местного самоуправления;</w:t>
      </w:r>
    </w:p>
    <w:p w:rsidR="00557D6B" w:rsidRDefault="000A0227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органов местного самоуправления услугами информационных технологий.</w:t>
      </w:r>
    </w:p>
    <w:p w:rsidR="00557D6B" w:rsidRDefault="000A0227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задачи по формированию и содержанию архива муниципального образования городское поселение Лянтор осуществляется посредством реализации следующих основных мероприятий:</w:t>
      </w:r>
    </w:p>
    <w:p w:rsidR="00557D6B" w:rsidRDefault="000A0227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 для комплектования и хранения документов физических и юридических лиц;</w:t>
      </w:r>
    </w:p>
    <w:p w:rsidR="00557D6B" w:rsidRDefault="000A0227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архивных документов для предоставления архивных справок, архивных выписок, копий архивных документов.</w:t>
      </w:r>
    </w:p>
    <w:p w:rsidR="00557D6B" w:rsidRDefault="00557D6B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1.8. Показатели непосредственных результатов основных мероприятий.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мероприятий программы:</w:t>
      </w:r>
    </w:p>
    <w:p w:rsidR="00557D6B" w:rsidRDefault="00557D6B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4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557D6B" w:rsidRPr="008E22C2">
        <w:tc>
          <w:tcPr>
            <w:tcW w:w="3343" w:type="dxa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344" w:type="dxa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принятых нормативно – правовых актов, связанных с формированием и выявлением вопросов, подлежащих нормативному регулированию 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значение данного показателя определяется как отношение опубликованных (обнародованных) документов к количеству документов, подлежащих опубликованию (обнародованию)</w:t>
            </w:r>
          </w:p>
          <w:p w:rsidR="00557D6B" w:rsidRDefault="000A0227">
            <w:pPr>
              <w:widowControl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К=Ко/Кп ×100%, где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 - доля документов опубликованных (обнародованных), %;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Кп – количество документов, подлежащих опубликованию (обнародованию);</w:t>
            </w:r>
          </w:p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 – количество опубликованных (обнародованных) документов, ед.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реестр документов для публикации в официальном выпуске газеты «Лянторская газета», справки об обнародовании МПА Администрации городского поселения Лянтор</w:t>
            </w:r>
          </w:p>
          <w:p w:rsidR="00557D6B" w:rsidRDefault="00557D6B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57D6B" w:rsidRDefault="00557D6B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57D6B" w:rsidRDefault="00557D6B">
            <w:pPr>
              <w:widowControl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просроченной кредиторской задолженности по заработной плате, налогам и иным денежным обязательствам Администрации города на отчетную дату</w:t>
            </w:r>
          </w:p>
        </w:tc>
        <w:tc>
          <w:tcPr>
            <w:tcW w:w="3344" w:type="dxa"/>
          </w:tcPr>
          <w:p w:rsidR="00557D6B" w:rsidRDefault="000A0227">
            <w:pPr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П(ОМ) = QКЗпр/(АГ), где: </w:t>
            </w:r>
          </w:p>
          <w:p w:rsidR="00557D6B" w:rsidRDefault="000A0227">
            <w:pPr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П(ОМ) - значение показателя «Объём просроченной кредиторской задолженности по заработной плате, налогам и иным денежным обязательствам Администрации города на отчетную дату», (тыс. руб.);</w:t>
            </w:r>
          </w:p>
          <w:p w:rsidR="00557D6B" w:rsidRDefault="000A0227">
            <w:pPr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QКЗпр/(АГ) - объём просроченной кредиторской задолженности Администрации города по выплате заработной платы, налогам и иным денежным обязательствам на отчётную дату, (тыс. руб.).  </w:t>
            </w:r>
          </w:p>
        </w:tc>
        <w:tc>
          <w:tcPr>
            <w:tcW w:w="3344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Дополнительные формы отчётности «Оперативные сведения о состоянии дебиторской и кредиторской задолженности по расходам бюджета».</w:t>
            </w: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просроченной кредиторской задолженности по заработной плате, налогам и иным денежным обязательствам МКУ «Лянторское управление по культуре, спорту и делам молодежи»</w:t>
            </w:r>
          </w:p>
        </w:tc>
        <w:tc>
          <w:tcPr>
            <w:tcW w:w="3344" w:type="dxa"/>
          </w:tcPr>
          <w:p w:rsidR="00557D6B" w:rsidRDefault="000A0227">
            <w:pPr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П(ОМ) = QКЗпр/(МКУ), где: </w:t>
            </w:r>
            <w:r>
              <w:rPr>
                <w:sz w:val="24"/>
                <w:szCs w:val="24"/>
                <w:lang w:val="ru-RU"/>
              </w:rPr>
              <w:br/>
              <w:t>П (ОМ) - значение показателя «Объём просроченной кредиторской задолженности по заработной плате, налогам и иным денежным обязательствам МКУ «Управление культуры и спорта», (тыс.руб.);</w:t>
            </w:r>
          </w:p>
          <w:p w:rsidR="00557D6B" w:rsidRDefault="000A0227">
            <w:pPr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QКЗпр/(МКУ) - объём просроченной кредиторской задолженности МКУ «Управление культуры и спорта»», по выплате заработной платы, налогам и иным денежным обязательствам на отчётную дату, (тыс. руб.). </w:t>
            </w:r>
          </w:p>
        </w:tc>
        <w:tc>
          <w:tcPr>
            <w:tcW w:w="3344" w:type="dxa"/>
          </w:tcPr>
          <w:p w:rsidR="00557D6B" w:rsidRDefault="000A022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Дополнительные формы отчётности «Оперативные сведения о состоянии дебиторской и кредиторской задолженности по расходам бюджета». </w:t>
            </w: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протокольных (торжественных) мероприятий с участием представителей органов местного самоуправления, в год</w:t>
            </w:r>
          </w:p>
        </w:tc>
        <w:tc>
          <w:tcPr>
            <w:tcW w:w="3344" w:type="dxa"/>
          </w:tcPr>
          <w:p w:rsidR="00557D6B" w:rsidRDefault="000A0227">
            <w:pPr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Совокупное количество протокольных (торжественных) мероприятий с участием Главы МО и заместителей Главы МО</w:t>
            </w:r>
          </w:p>
        </w:tc>
        <w:tc>
          <w:tcPr>
            <w:tcW w:w="3344" w:type="dxa"/>
          </w:tcPr>
          <w:p w:rsidR="00557D6B" w:rsidRDefault="000A022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План проведения протокольных (торжественных) мероприятий</w:t>
            </w: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направленных в командировку, по которой требуется осуществление командировочных расходов, в год 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К= 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 *100/ К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где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з </w:t>
            </w:r>
            <w:r>
              <w:rPr>
                <w:sz w:val="24"/>
                <w:szCs w:val="24"/>
                <w:lang w:val="ru-RU"/>
              </w:rPr>
              <w:t>– количество запланированных;</w:t>
            </w:r>
          </w:p>
          <w:p w:rsidR="00557D6B" w:rsidRDefault="000A0227">
            <w:pPr>
              <w:ind w:left="-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оп</w:t>
            </w:r>
            <w:r>
              <w:rPr>
                <w:sz w:val="24"/>
                <w:szCs w:val="24"/>
                <w:lang w:val="ru-RU"/>
              </w:rPr>
              <w:t xml:space="preserve"> - количество отправленных</w:t>
            </w:r>
          </w:p>
        </w:tc>
        <w:tc>
          <w:tcPr>
            <w:tcW w:w="3344" w:type="dxa"/>
          </w:tcPr>
          <w:p w:rsidR="00557D6B" w:rsidRDefault="000A02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о направлении в командировку</w:t>
            </w:r>
          </w:p>
        </w:tc>
      </w:tr>
      <w:tr w:rsidR="00557D6B">
        <w:tc>
          <w:tcPr>
            <w:tcW w:w="3343" w:type="dxa"/>
          </w:tcPr>
          <w:p w:rsidR="00557D6B" w:rsidRDefault="000A0227">
            <w:pPr>
              <w:widowControl w:val="0"/>
              <w:contextualSpacing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посещений официального сайта Администрации городского поселения Лянтор, в год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п=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*100/Кд,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где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>
              <w:rPr>
                <w:sz w:val="24"/>
                <w:szCs w:val="24"/>
                <w:lang w:val="ru-RU"/>
              </w:rPr>
              <w:t>– общее число в посещений в год;</w:t>
            </w:r>
          </w:p>
          <w:p w:rsidR="00557D6B" w:rsidRDefault="000A0227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 xml:space="preserve"> - количество дней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Яндекс метрика</w:t>
            </w: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Количество подписчиков  Пресс-службы Главы города Лянтор, чел.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совокупное количество подписчиков в группе в социальных сетях «ВКонтакте», в отчётном году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отчет по группе в социальных сетях</w:t>
            </w:r>
          </w:p>
        </w:tc>
      </w:tr>
      <w:tr w:rsidR="00557D6B" w:rsidRPr="008E22C2">
        <w:tc>
          <w:tcPr>
            <w:tcW w:w="3343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количество подписчиков Город/Информационный портал, чел.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совокупное количество подписчиков в группе в социальных сетях «ВКонтакте», в отчётном году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отчет по группе в социальных сетях</w:t>
            </w:r>
          </w:p>
        </w:tc>
      </w:tr>
      <w:tr w:rsidR="00557D6B">
        <w:tc>
          <w:tcPr>
            <w:tcW w:w="3343" w:type="dxa"/>
          </w:tcPr>
          <w:p w:rsidR="00557D6B" w:rsidRDefault="000A0227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обеспеченности органов местного самоуправления услугами информационных технологий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= К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*100/ К</w:t>
            </w:r>
            <w:r>
              <w:rPr>
                <w:sz w:val="24"/>
                <w:szCs w:val="24"/>
                <w:vertAlign w:val="subscript"/>
                <w:lang w:val="ru-RU"/>
              </w:rPr>
              <w:t>оп</w:t>
            </w:r>
            <w:r>
              <w:rPr>
                <w:sz w:val="24"/>
                <w:szCs w:val="24"/>
                <w:lang w:val="ru-RU"/>
              </w:rPr>
              <w:t xml:space="preserve"> где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>
              <w:rPr>
                <w:sz w:val="24"/>
                <w:szCs w:val="24"/>
                <w:lang w:val="ru-RU"/>
              </w:rPr>
              <w:t>– количество пользователей;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оп</w:t>
            </w:r>
            <w:r>
              <w:rPr>
                <w:sz w:val="24"/>
                <w:szCs w:val="24"/>
                <w:lang w:val="ru-RU"/>
              </w:rPr>
              <w:t xml:space="preserve"> - количество пользователей, обеспеченных ИТ 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сведения за отчётный период  </w:t>
            </w:r>
          </w:p>
        </w:tc>
      </w:tr>
      <w:tr w:rsidR="00557D6B">
        <w:tc>
          <w:tcPr>
            <w:tcW w:w="3343" w:type="dxa"/>
          </w:tcPr>
          <w:p w:rsidR="00557D6B" w:rsidRDefault="000A0227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единиц хранения, в год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= К</w:t>
            </w:r>
            <w:r>
              <w:rPr>
                <w:sz w:val="24"/>
                <w:szCs w:val="24"/>
                <w:vertAlign w:val="subscript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*100/ К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где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– количество справок ;</w:t>
            </w:r>
          </w:p>
          <w:p w:rsidR="00557D6B" w:rsidRDefault="000A022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- количество отказов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1-ГМУ</w:t>
            </w:r>
          </w:p>
        </w:tc>
      </w:tr>
      <w:tr w:rsidR="00557D6B">
        <w:tc>
          <w:tcPr>
            <w:tcW w:w="3343" w:type="dxa"/>
          </w:tcPr>
          <w:p w:rsidR="00557D6B" w:rsidRDefault="000A0227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предоставление муниципальной услуги по выдаче архивных справок, выписок, архивных документов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Абсолютный показатель</w:t>
            </w:r>
          </w:p>
        </w:tc>
        <w:tc>
          <w:tcPr>
            <w:tcW w:w="3344" w:type="dxa"/>
          </w:tcPr>
          <w:p w:rsidR="00557D6B" w:rsidRDefault="000A0227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Отчет 1-ГМУ</w:t>
            </w:r>
          </w:p>
        </w:tc>
      </w:tr>
    </w:tbl>
    <w:p w:rsidR="00557D6B" w:rsidRDefault="00557D6B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1.9. Сроки и этапы реализации муниципальной программы: </w:t>
      </w: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с 01.01.</w:t>
      </w:r>
      <w:r>
        <w:rPr>
          <w:sz w:val="28"/>
          <w:szCs w:val="28"/>
          <w:lang w:val="ru-RU"/>
        </w:rPr>
        <w:t>2021 по 31.12.2023.</w:t>
      </w:r>
    </w:p>
    <w:p w:rsidR="00557D6B" w:rsidRDefault="00557D6B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1.10. Перечень подпрограмм муниципальной программы.</w:t>
      </w: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557D6B" w:rsidRDefault="00557D6B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1.11. Финансовое обеспечение муниципальной программы.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Финансовое обеспечение муниципальной программы осуществляется за счёт средств бюджета городского поселения Лянтор (далее – бюджет города).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557D6B" w:rsidRDefault="000A022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Объём финансирования муниципальной программы в 2021 - 2023 годах -  </w:t>
      </w:r>
    </w:p>
    <w:p w:rsidR="00557D6B" w:rsidRDefault="000A02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r w:rsidR="00AF733E">
        <w:rPr>
          <w:sz w:val="28"/>
          <w:szCs w:val="28"/>
          <w:lang w:val="ru-RU"/>
        </w:rPr>
        <w:t>362 791,74</w:t>
      </w:r>
      <w:r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рублей, в том числе:</w:t>
      </w:r>
    </w:p>
    <w:p w:rsidR="00557D6B" w:rsidRDefault="000A022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счёт средств федерального бюджета – </w:t>
      </w:r>
      <w:r w:rsidR="00AF733E">
        <w:rPr>
          <w:sz w:val="28"/>
          <w:szCs w:val="28"/>
          <w:lang w:val="ru-RU"/>
        </w:rPr>
        <w:t>16 694,55</w:t>
      </w:r>
      <w:r>
        <w:rPr>
          <w:sz w:val="28"/>
          <w:szCs w:val="28"/>
          <w:lang w:val="ru-RU"/>
        </w:rPr>
        <w:t xml:space="preserve"> тыс. рублей, </w:t>
      </w:r>
    </w:p>
    <w:p w:rsidR="00557D6B" w:rsidRDefault="000A022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AF733E">
        <w:rPr>
          <w:sz w:val="28"/>
          <w:szCs w:val="28"/>
          <w:lang w:val="ru-RU"/>
        </w:rPr>
        <w:t>340 459,18</w:t>
      </w:r>
      <w:r>
        <w:rPr>
          <w:sz w:val="28"/>
          <w:szCs w:val="28"/>
          <w:lang w:val="ru-RU"/>
        </w:rPr>
        <w:t xml:space="preserve"> тыс. рублей, </w:t>
      </w:r>
    </w:p>
    <w:p w:rsidR="00557D6B" w:rsidRDefault="000A022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 xml:space="preserve">за счёт средств, предоставленных бюджетом Сургутского района – </w:t>
      </w:r>
      <w:r w:rsidR="00AF733E">
        <w:rPr>
          <w:rFonts w:eastAsiaTheme="minorEastAsia"/>
          <w:sz w:val="28"/>
          <w:szCs w:val="28"/>
          <w:lang w:val="ru-RU"/>
        </w:rPr>
        <w:t>5 638,01</w:t>
      </w:r>
      <w:r>
        <w:rPr>
          <w:rFonts w:eastAsiaTheme="minorEastAsia"/>
          <w:sz w:val="28"/>
          <w:szCs w:val="28"/>
          <w:lang w:val="ru-RU"/>
        </w:rPr>
        <w:t xml:space="preserve"> тыс. рублей.</w:t>
      </w:r>
    </w:p>
    <w:p w:rsidR="00557D6B" w:rsidRDefault="000A02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557D6B" w:rsidRDefault="000A0227">
      <w:pPr>
        <w:ind w:left="709"/>
        <w:jc w:val="both"/>
        <w:rPr>
          <w:sz w:val="28"/>
          <w:szCs w:val="28"/>
          <w:lang w:val="ru-RU"/>
        </w:rPr>
      </w:pPr>
      <w:bookmarkStart w:id="1" w:name="sub_20004"/>
      <w:r>
        <w:rPr>
          <w:sz w:val="28"/>
          <w:szCs w:val="28"/>
          <w:lang w:val="ru-RU"/>
        </w:rPr>
        <w:t>- 2021 год – 118 601,02 тыс. рублей;</w:t>
      </w:r>
    </w:p>
    <w:p w:rsidR="00557D6B" w:rsidRDefault="000A0227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- 2022 год – </w:t>
      </w:r>
      <w:r w:rsidR="00AF733E">
        <w:rPr>
          <w:sz w:val="28"/>
          <w:szCs w:val="28"/>
          <w:lang w:val="ru-RU"/>
        </w:rPr>
        <w:t>125 677,02</w:t>
      </w:r>
      <w:r>
        <w:rPr>
          <w:sz w:val="28"/>
          <w:szCs w:val="28"/>
          <w:lang w:val="ru-RU"/>
        </w:rPr>
        <w:t xml:space="preserve"> тыс. рублей;</w:t>
      </w:r>
    </w:p>
    <w:p w:rsidR="00557D6B" w:rsidRDefault="000A0227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- 2023 год – 118 513,70 тыс. рублей.</w:t>
      </w:r>
    </w:p>
    <w:p w:rsidR="00557D6B" w:rsidRDefault="00557D6B">
      <w:pPr>
        <w:ind w:left="-55" w:firstLine="764"/>
        <w:jc w:val="both"/>
        <w:rPr>
          <w:sz w:val="28"/>
          <w:szCs w:val="28"/>
          <w:lang w:val="ru-RU"/>
        </w:rPr>
      </w:pPr>
    </w:p>
    <w:p w:rsidR="00557D6B" w:rsidRDefault="000A0227">
      <w:pPr>
        <w:keepNext/>
        <w:widowControl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ajorEastAsia"/>
          <w:bCs/>
          <w:iCs/>
          <w:sz w:val="28"/>
          <w:szCs w:val="28"/>
          <w:lang w:val="ru-RU"/>
        </w:rPr>
        <w:t xml:space="preserve">2. Стимулирование инвестиционной и инновационной деятельности,  </w:t>
      </w:r>
    </w:p>
    <w:p w:rsidR="00557D6B" w:rsidRDefault="000A0227">
      <w:pPr>
        <w:keepNext/>
        <w:widowControl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ajorEastAsia"/>
          <w:bCs/>
          <w:iCs/>
          <w:sz w:val="28"/>
          <w:szCs w:val="28"/>
          <w:lang w:val="ru-RU"/>
        </w:rPr>
        <w:t xml:space="preserve"> развитие конкуренции и негосударственного сектора экономики</w:t>
      </w:r>
    </w:p>
    <w:bookmarkEnd w:id="1"/>
    <w:p w:rsidR="00557D6B" w:rsidRDefault="00557D6B">
      <w:pPr>
        <w:keepNext/>
        <w:widowControl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2.1. </w:t>
      </w:r>
      <w:r>
        <w:rPr>
          <w:rFonts w:eastAsiaTheme="minorEastAsia"/>
          <w:sz w:val="28"/>
          <w:szCs w:val="28"/>
          <w:lang w:val="ru-RU"/>
        </w:rPr>
        <w:t>Меры, предусматриваемые в целях с</w:t>
      </w:r>
      <w:r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:rsidR="00557D6B" w:rsidRDefault="000A0227">
      <w:pPr>
        <w:widowControl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:rsidR="00557D6B" w:rsidRDefault="00557D6B">
      <w:pPr>
        <w:ind w:firstLine="720"/>
        <w:jc w:val="both"/>
        <w:rPr>
          <w:color w:val="FF0000"/>
          <w:shd w:val="clear" w:color="auto" w:fill="FFFFFF"/>
          <w:lang w:val="ru-RU"/>
        </w:rPr>
      </w:pPr>
    </w:p>
    <w:p w:rsidR="00557D6B" w:rsidRDefault="000A0227">
      <w:pPr>
        <w:keepNext/>
        <w:widowControl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2" w:name="sub_20005"/>
      <w:r>
        <w:rPr>
          <w:rFonts w:eastAsiaTheme="majorEastAsia"/>
          <w:bCs/>
          <w:iCs/>
          <w:sz w:val="28"/>
          <w:szCs w:val="28"/>
          <w:lang w:val="ru-RU"/>
        </w:rPr>
        <w:t>3. Механизмы реализации мероприятий муниципальной программы</w:t>
      </w:r>
    </w:p>
    <w:bookmarkEnd w:id="2"/>
    <w:p w:rsidR="00557D6B" w:rsidRDefault="00557D6B">
      <w:pPr>
        <w:keepNext/>
        <w:widowControl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557D6B" w:rsidRDefault="000A022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муниципальной программы при сокращении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3.2. Порядок взаимодействия координатора, соисполнителей, участников.</w:t>
      </w:r>
    </w:p>
    <w:p w:rsidR="00557D6B" w:rsidRDefault="000A02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Координатором муниципальной программы является управление по организации деятельности, соисполнителями муниципальной программы является: управление экономики, управление бюджетного учета и отчетности Администрации города и МКУ «Управление культуры и спорта». </w:t>
      </w:r>
    </w:p>
    <w:p w:rsidR="00557D6B" w:rsidRDefault="000A02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Координатор осуществляет непосредственный контроль за реализацией муниципальной программы, эффективностью и результативностью реализации муниципальной программы, в том числе, за целевым использованием выделенных на реализацию программы бюджетных средств и достижением целевых показателей. Координатор муниципальной программы ежеквартально осуществляет мониторинг её исполнения.</w:t>
      </w:r>
    </w:p>
    <w:p w:rsidR="00557D6B" w:rsidRDefault="000A0227">
      <w:pPr>
        <w:widowControl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557D6B" w:rsidRDefault="00557D6B">
      <w:pPr>
        <w:jc w:val="both"/>
        <w:rPr>
          <w:rFonts w:eastAsiaTheme="minorEastAsia"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3.3. Порядок(ки) предоставления и перечисления межбюджетных трансфертов.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В рамках муниципальной программы межбюджетные трансферты не предоставляются.</w:t>
      </w:r>
    </w:p>
    <w:p w:rsidR="00557D6B" w:rsidRDefault="00557D6B">
      <w:pPr>
        <w:ind w:firstLine="720"/>
        <w:jc w:val="both"/>
        <w:rPr>
          <w:rFonts w:eastAsiaTheme="minorEastAsia"/>
          <w:i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3.4. Внедрение и применение технологий бережливого производства (далее - ЛИН-технологии).</w:t>
      </w:r>
    </w:p>
    <w:p w:rsidR="00557D6B" w:rsidRDefault="000A0227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внедрению и применению ЛИН-технологий не предусмотрено.</w:t>
      </w:r>
    </w:p>
    <w:p w:rsidR="00557D6B" w:rsidRDefault="00557D6B">
      <w:pPr>
        <w:ind w:firstLine="720"/>
        <w:jc w:val="both"/>
        <w:rPr>
          <w:rFonts w:eastAsiaTheme="minorEastAsia"/>
          <w:i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3.5. Проектное управление.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Мероприятия муниципальной программы, реализуемые на принципах проектного управления, в данной программе не предусмотрены. </w:t>
      </w:r>
    </w:p>
    <w:p w:rsidR="00557D6B" w:rsidRDefault="00557D6B">
      <w:pPr>
        <w:ind w:firstLine="720"/>
        <w:jc w:val="both"/>
        <w:rPr>
          <w:rFonts w:eastAsiaTheme="minorEastAsia"/>
          <w:i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3.6. Инициативное бюджетирование.</w:t>
      </w:r>
    </w:p>
    <w:p w:rsidR="00557D6B" w:rsidRDefault="000A0227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предусмотрено.</w:t>
      </w:r>
    </w:p>
    <w:p w:rsidR="00557D6B" w:rsidRDefault="00557D6B">
      <w:pPr>
        <w:ind w:firstLine="720"/>
        <w:jc w:val="both"/>
        <w:rPr>
          <w:rFonts w:eastAsiaTheme="minorEastAsia"/>
          <w:i/>
          <w:lang w:val="ru-RU"/>
        </w:rPr>
      </w:pPr>
    </w:p>
    <w:p w:rsidR="00557D6B" w:rsidRDefault="000A0227">
      <w:pPr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3.7. Иные механизмы реализации программы.</w:t>
      </w:r>
    </w:p>
    <w:p w:rsidR="00557D6B" w:rsidRDefault="000A0227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557D6B" w:rsidRDefault="00557D6B">
      <w:pPr>
        <w:ind w:firstLine="720"/>
        <w:jc w:val="both"/>
        <w:rPr>
          <w:rFonts w:eastAsiaTheme="minorEastAsia"/>
          <w:i/>
          <w:lang w:val="ru-RU"/>
        </w:rPr>
      </w:pP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:rsidR="00557D6B" w:rsidRDefault="000A0227">
      <w:pPr>
        <w:ind w:firstLine="720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>
        <w:rPr>
          <w:rFonts w:eastAsiaTheme="minorEastAsia"/>
          <w:sz w:val="28"/>
          <w:szCs w:val="28"/>
          <w:lang w:val="ru-RU"/>
        </w:rPr>
        <w:t>не предусмотрены.</w:t>
      </w:r>
    </w:p>
    <w:p w:rsidR="00557D6B" w:rsidRDefault="00557D6B">
      <w:pPr>
        <w:ind w:firstLine="698"/>
        <w:jc w:val="both"/>
        <w:rPr>
          <w:rFonts w:eastAsiaTheme="minorEastAsia"/>
          <w:lang w:val="ru-RU"/>
        </w:rPr>
      </w:pPr>
    </w:p>
    <w:p w:rsidR="00557D6B" w:rsidRDefault="000A0227">
      <w:pPr>
        <w:ind w:firstLine="698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3.9. Прогнозные значения сводных показателей муниципальных заданий.</w:t>
      </w:r>
      <w:r>
        <w:rPr>
          <w:sz w:val="28"/>
          <w:szCs w:val="28"/>
          <w:lang w:val="ru-RU"/>
        </w:rPr>
        <w:t xml:space="preserve"> </w:t>
      </w:r>
    </w:p>
    <w:p w:rsidR="00557D6B" w:rsidRDefault="000A0227">
      <w:pPr>
        <w:ind w:firstLine="69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:rsidR="00557D6B" w:rsidRDefault="00557D6B">
      <w:pPr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557D6B" w:rsidRDefault="000A0227">
      <w:pPr>
        <w:ind w:firstLine="69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3.10. Объекты капитального строительства/реконструкции муниципальной собственности.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557D6B" w:rsidRDefault="00557D6B">
      <w:pPr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557D6B" w:rsidRDefault="000A0227">
      <w:pPr>
        <w:ind w:firstLine="69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3.11. Объекты капитального ремонта.</w:t>
      </w:r>
    </w:p>
    <w:p w:rsidR="00557D6B" w:rsidRDefault="000A0227">
      <w:pPr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557D6B" w:rsidRDefault="00557D6B">
      <w:pPr>
        <w:widowControl w:val="0"/>
        <w:ind w:firstLine="720"/>
        <w:jc w:val="both"/>
        <w:rPr>
          <w:rFonts w:eastAsiaTheme="minorEastAsia"/>
          <w:lang w:val="ru-RU"/>
        </w:rPr>
        <w:sectPr w:rsidR="00557D6B">
          <w:pgSz w:w="11905" w:h="16837"/>
          <w:pgMar w:top="799" w:right="565" w:bottom="110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346"/>
        <w:tblW w:w="15448" w:type="dxa"/>
        <w:tblLayout w:type="fixed"/>
        <w:tblLook w:val="04A0" w:firstRow="1" w:lastRow="0" w:firstColumn="1" w:lastColumn="0" w:noHBand="0" w:noVBand="1"/>
      </w:tblPr>
      <w:tblGrid>
        <w:gridCol w:w="15448"/>
      </w:tblGrid>
      <w:tr w:rsidR="00557D6B">
        <w:trPr>
          <w:trHeight w:val="19"/>
        </w:trPr>
        <w:tc>
          <w:tcPr>
            <w:tcW w:w="15448" w:type="dxa"/>
            <w:shd w:val="clear" w:color="auto" w:fill="auto"/>
            <w:vAlign w:val="center"/>
          </w:tcPr>
          <w:p w:rsidR="00557D6B" w:rsidRDefault="000A0227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7D6B" w:rsidRDefault="000A0227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1</w:t>
            </w:r>
          </w:p>
          <w:p w:rsidR="00557D6B" w:rsidRDefault="000A0227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557D6B" w:rsidRDefault="000A0227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557D6B" w:rsidRDefault="000A022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Муниципальная программа «Организационное, финансовое и информационное обеспечение деятельности органов местного самоуправления городского поселении Лянтор на 2021-2023 годы»</w:t>
            </w:r>
          </w:p>
          <w:p w:rsidR="00557D6B" w:rsidRDefault="000A0227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(наименование муниципальной программы)</w:t>
            </w:r>
          </w:p>
          <w:tbl>
            <w:tblPr>
              <w:tblW w:w="153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982"/>
              <w:gridCol w:w="1847"/>
              <w:gridCol w:w="94"/>
              <w:gridCol w:w="7"/>
              <w:gridCol w:w="889"/>
              <w:gridCol w:w="1529"/>
              <w:gridCol w:w="13"/>
              <w:gridCol w:w="22"/>
              <w:gridCol w:w="1203"/>
              <w:gridCol w:w="1279"/>
              <w:gridCol w:w="1279"/>
              <w:gridCol w:w="1638"/>
              <w:gridCol w:w="25"/>
              <w:gridCol w:w="1985"/>
              <w:gridCol w:w="13"/>
            </w:tblGrid>
            <w:tr w:rsidR="00557D6B">
              <w:trPr>
                <w:gridAfter w:val="1"/>
                <w:wAfter w:w="13" w:type="dxa"/>
                <w:trHeight w:val="8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47" w:type="dxa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Источник финансирования/ Наименование показателей</w:t>
                  </w:r>
                  <w:r>
                    <w:rPr>
                      <w:lang w:val="ru-RU"/>
                    </w:rPr>
                    <w:br/>
                  </w:r>
                </w:p>
              </w:tc>
              <w:tc>
                <w:tcPr>
                  <w:tcW w:w="990" w:type="dxa"/>
                  <w:gridSpan w:val="3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564" w:type="dxa"/>
                  <w:gridSpan w:val="3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761" w:type="dxa"/>
                  <w:gridSpan w:val="3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t>Значение по годам</w:t>
                  </w:r>
                </w:p>
              </w:tc>
              <w:tc>
                <w:tcPr>
                  <w:tcW w:w="1638" w:type="dxa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Целевое значение показателя на момент окончания действия муниципальной программы</w:t>
                  </w:r>
                </w:p>
              </w:tc>
              <w:tc>
                <w:tcPr>
                  <w:tcW w:w="2010" w:type="dxa"/>
                  <w:gridSpan w:val="2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t>Координатор/ соисполнитель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557D6B">
              <w:trPr>
                <w:gridAfter w:val="1"/>
                <w:wAfter w:w="13" w:type="dxa"/>
                <w:trHeight w:val="298"/>
                <w:jc w:val="center"/>
              </w:trPr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18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990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>
                    <w:br/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63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557D6B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>
                    <w:t> 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Муниципальная программа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«</w:t>
                  </w:r>
                  <w:r>
                    <w:rPr>
                      <w:lang w:val="ru-RU"/>
                    </w:rPr>
                    <w:t>Организационное, финансовое  и информационное обеспечение деятельности органов местного самоуправления  городского поселения Лянтор на 2021-2023 годы» (наименование муниципальной программы)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362 791,74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118 601,02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125 677,02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118 513, 70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557D6B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 федеральный 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16 694,55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5 702,09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5 704,88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5 287, 58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340 459,18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112 066,59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115 198,37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113 194, 22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 счёт средств, предоставленных бюджетом Сургутского района 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5 6</w:t>
                  </w:r>
                  <w:r w:rsidR="000A0227">
                    <w:rPr>
                      <w:lang w:val="ru-RU"/>
                    </w:rPr>
                    <w:t>38,01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832,34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4 773,77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 w:rsidRPr="008E22C2">
              <w:trPr>
                <w:gridAfter w:val="1"/>
                <w:wAfter w:w="13" w:type="dxa"/>
                <w:trHeight w:val="4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>
                    <w:t>Цель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both"/>
                    <w:rPr>
                      <w:rFonts w:eastAsiaTheme="minorEastAsia"/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Создание условий для развития, совершенствования и повышения эффективности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gridAfter w:val="1"/>
                <w:wAfter w:w="13" w:type="dxa"/>
                <w:trHeight w:val="178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Уровень удовлетворенности населения деятельностью органов местного самоуправления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557D6B" w:rsidRPr="008E22C2">
              <w:trPr>
                <w:gridAfter w:val="1"/>
                <w:wAfter w:w="13" w:type="dxa"/>
                <w:trHeight w:val="7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>
                    <w:rPr>
                      <w:b/>
                    </w:rPr>
                    <w:t> </w:t>
                  </w:r>
                  <w:r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Создание условий для осуществления эффективной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 (в сопоставимых показателях), (%);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1.1.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Основное мероприятие: «Нормативно-правовое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пр.)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one" w:sz="4" w:space="0" w:color="000000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one" w:sz="4" w:space="0" w:color="000000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 принятых нормативно – правовых актов, связанных с формированием и, выявлением вопросов, подлежащих нормативному регулированию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 w:rsidRPr="008E22C2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Основное мероприятие: «Обеспечение выполнения полномочий и функций, возложенных на Администрацию города» </w:t>
                  </w: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248 091,33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82 770,90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85 300, 35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80 020,08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бюджетного учета и отчётности</w:t>
                  </w:r>
                </w:p>
              </w:tc>
            </w:tr>
            <w:tr w:rsidR="00557D6B">
              <w:trPr>
                <w:trHeight w:val="42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- бюджет города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227 219,82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76 268,37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76 218, 95</w:t>
                  </w:r>
                  <w:r w:rsidR="000A0227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  <w:r w:rsidR="00253795">
                    <w:rPr>
                      <w:lang w:val="ru-RU"/>
                    </w:rPr>
                    <w:t>4 732,50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557D6B">
              <w:trPr>
                <w:trHeight w:val="81"/>
                <w:jc w:val="center"/>
              </w:trPr>
              <w:tc>
                <w:tcPr>
                  <w:tcW w:w="568" w:type="dxa"/>
                  <w:vMerge/>
                  <w:tcBorders>
                    <w:bottom w:val="none" w:sz="4" w:space="0" w:color="000000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one" w:sz="4" w:space="0" w:color="000000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федеральный 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16 694,55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5 702,09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5 704, 88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5 287, 58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557D6B">
              <w:trPr>
                <w:trHeight w:val="81"/>
                <w:jc w:val="center"/>
              </w:trPr>
              <w:tc>
                <w:tcPr>
                  <w:tcW w:w="568" w:type="dxa"/>
                  <w:tcBorders>
                    <w:bottom w:val="none" w:sz="4" w:space="0" w:color="000000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one" w:sz="4" w:space="0" w:color="000000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 счёт средств, предоставленных бюджетом Сургутского района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4 176,96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800,44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253795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3 376,52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color w:val="C00000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one" w:sz="4" w:space="0" w:color="000000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one" w:sz="4" w:space="0" w:color="000000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Объем просроченной кредиторской задолженности по заработной плате, налогам и иным денежным обязательствам Администрации города на отчетную дату 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A35C5F" w:rsidRPr="008E22C2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A35C5F" w:rsidRDefault="00A35C5F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1.3.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Основное мероприятие: «Обеспечение выполнения функций возложенных на МКУ «Управление культуры и, спорта» </w:t>
                  </w: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107 550,64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33 008,94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38 209,19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36 332, 51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A35C5F" w:rsidTr="007155D2">
              <w:trPr>
                <w:trHeight w:val="495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A35C5F" w:rsidRDefault="00A35C5F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106 185,29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33 008,94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36 843,84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36 332, 51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A35C5F">
              <w:trPr>
                <w:trHeight w:val="180"/>
                <w:jc w:val="center"/>
              </w:trPr>
              <w:tc>
                <w:tcPr>
                  <w:tcW w:w="568" w:type="dxa"/>
                  <w:vMerge/>
                  <w:tcBorders>
                    <w:bottom w:val="none" w:sz="4" w:space="0" w:color="000000"/>
                  </w:tcBorders>
                  <w:shd w:val="clear" w:color="auto" w:fill="auto"/>
                  <w:noWrap/>
                </w:tcPr>
                <w:p w:rsidR="00A35C5F" w:rsidRDefault="00A35C5F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one" w:sz="4" w:space="0" w:color="000000"/>
                  </w:tcBorders>
                  <w:shd w:val="clear" w:color="auto" w:fill="auto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P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 счёт средств, предоставленных бюджетом Сургутского района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1 365,35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1 365,35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A35C5F" w:rsidRDefault="00A35C5F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one" w:sz="4" w:space="0" w:color="000000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one" w:sz="4" w:space="0" w:color="000000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Объем просроченной кредиторской задолженности по заработной плате, налогам и иным денежным обязательствам МКУ «Лянторское управление по культуре, спорту и делам молодежи»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one" w:sz="4" w:space="0" w:color="000000"/>
                  </w:tcBorders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one" w:sz="4" w:space="0" w:color="000000"/>
                  </w:tcBorders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 w:rsidRPr="008E22C2">
              <w:trPr>
                <w:gridAfter w:val="1"/>
                <w:wAfter w:w="13" w:type="dxa"/>
                <w:trHeight w:val="5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both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Организационное и материально-техническое обеспечение официальных мероприятий, проводимых органами местного самоуправления</w:t>
                  </w: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 xml:space="preserve">Уровень эффективности и результативности деятельности органов местного самоуправления ,%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557D6B">
              <w:trPr>
                <w:trHeight w:val="94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rFonts w:eastAsiaTheme="minorHAnsi"/>
                      <w:lang w:val="ru-RU" w:eastAsia="en-US"/>
                    </w:rPr>
                    <w:t>Осуществление представительских расходов</w:t>
                  </w:r>
                  <w:r>
                    <w:rPr>
                      <w:lang w:val="ru-RU"/>
                    </w:rPr>
                    <w:t xml:space="preserve">»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Всего, в том числе: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1 148,34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415,</w:t>
                  </w:r>
                  <w:r w:rsidR="000A0227">
                    <w:rPr>
                      <w:lang w:val="ru-RU"/>
                    </w:rPr>
                    <w:t>15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368,53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364,66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8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1 148,34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415,</w:t>
                  </w:r>
                  <w:r w:rsidR="000A0227">
                    <w:rPr>
                      <w:lang w:val="ru-RU"/>
                    </w:rPr>
                    <w:t>15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368,</w:t>
                  </w:r>
                  <w:r w:rsidR="00AF733E">
                    <w:rPr>
                      <w:lang w:val="ru-RU"/>
                    </w:rPr>
                    <w:t>5</w:t>
                  </w: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364,66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77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ПНР основного мероприятия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 протокольных (торжественных) мероприятий с участием представителей органов местного самоуправления,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557D6B">
              <w:trPr>
                <w:trHeight w:val="67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</w:pPr>
                  <w:r>
                    <w:t>2.</w:t>
                  </w:r>
                  <w:r>
                    <w:rPr>
                      <w:lang w:val="ru-RU"/>
                    </w:rPr>
                    <w:t>2</w:t>
                  </w:r>
                  <w:r>
                    <w:t>.</w:t>
                  </w:r>
                </w:p>
              </w:tc>
              <w:tc>
                <w:tcPr>
                  <w:tcW w:w="298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Основное мероприятие: «Осуществление командировочных расходов» </w:t>
                  </w:r>
                  <w:r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t>Всего, в том числе: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</w:pPr>
                  <w:r>
                    <w:t>(тыс. руб 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695,34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258,21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2B1C68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216,63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220,50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557D6B">
              <w:trPr>
                <w:trHeight w:val="67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685,59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248,46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665AC8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216,63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220,50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557D6B" w:rsidRPr="008E22C2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9,75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9,75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</w:pPr>
                  <w:r w:rsidRPr="00AF733E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rFonts w:eastAsiaTheme="minorHAnsi"/>
                      <w:lang w:val="ru-RU" w:eastAsia="en-US"/>
                    </w:rPr>
                    <w:t>Количество направленных в командировку, по которой требуется осуществление командировочных расходов,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Pr="00AF733E" w:rsidRDefault="008E22C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</w:pPr>
                </w:p>
              </w:tc>
            </w:tr>
            <w:tr w:rsidR="00557D6B" w:rsidRPr="008E22C2">
              <w:trPr>
                <w:gridAfter w:val="1"/>
                <w:wAfter w:w="13" w:type="dxa"/>
                <w:trHeight w:val="4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3.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Обеспечение открытости и доступности информации о деятельности органов местного самоуправления</w:t>
                  </w: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color w:val="FF000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Доля </w:t>
                  </w:r>
                  <w:r>
                    <w:rPr>
                      <w:rFonts w:eastAsiaTheme="minorHAnsi"/>
                      <w:lang w:val="ru-RU" w:eastAsia="en-US"/>
                    </w:rPr>
                    <w:t>населения</w:t>
                  </w:r>
                  <w:r>
                    <w:rPr>
                      <w:lang w:val="ru-RU"/>
                    </w:rPr>
                    <w:t>, получившего информацию о деятельности органов местного самоуправления посредством СМИ %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 w:rsidRPr="008E22C2">
              <w:trPr>
                <w:trHeight w:val="115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</w:pPr>
                  <w:r>
                    <w:t>3.1.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Основное мероприятие: «Освещение деятельности органов местного самоуправления»</w:t>
                  </w:r>
                  <w:r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(тыс. руб.)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деятельности/Управление экономики </w:t>
                  </w:r>
                </w:p>
              </w:tc>
            </w:tr>
            <w:tr w:rsidR="00557D6B">
              <w:trPr>
                <w:trHeight w:val="211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</w:pPr>
                  <w:r w:rsidRPr="00AF733E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Количество посещений официального сайта Администрации городского поселения Лянтор,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чел.</w:t>
                  </w: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47524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55874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49354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50577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50577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982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bookmarkStart w:id="3" w:name="_GoBack" w:colFirst="8" w:colLast="8"/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ПНР основного мероприятия</w:t>
                  </w: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widowControl w:val="0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  <w:p w:rsidR="00557D6B" w:rsidRPr="00AF733E" w:rsidRDefault="00557D6B" w:rsidP="008E22C2">
                  <w:pPr>
                    <w:framePr w:hSpace="180" w:wrap="around" w:vAnchor="page" w:hAnchor="margin" w:y="346"/>
                    <w:widowControl w:val="0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widowControl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AF733E"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Пресс-службы Главы  города Лянтор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2315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2683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98552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3345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AF733E" w:rsidRDefault="0098552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3400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Pr="008E22C2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Pr="008E22C2" w:rsidRDefault="008E22C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8E22C2">
                    <w:rPr>
                      <w:lang w:val="ru-RU"/>
                    </w:rPr>
                    <w:t>3400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40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widowControl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AF733E"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Город/Информационный портал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4949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Pr="00AF733E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4950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Pr="00AF733E" w:rsidRDefault="0098552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6100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Pr="00AF733E" w:rsidRDefault="0098552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AF733E">
                    <w:rPr>
                      <w:lang w:val="ru-RU"/>
                    </w:rPr>
                    <w:t>6200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Pr="008E22C2" w:rsidRDefault="008E22C2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8E22C2">
                    <w:rPr>
                      <w:lang w:val="ru-RU"/>
                    </w:rPr>
                    <w:t>6200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557D6B" w:rsidRPr="00AF733E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bookmarkEnd w:id="3"/>
            <w:tr w:rsidR="00557D6B">
              <w:trPr>
                <w:trHeight w:val="149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Основное мероприятие: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«Обеспечение органов местного самоуправления услугами информационных технологий»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(тыс. руб.)</w:t>
                  </w:r>
                </w:p>
                <w:p w:rsidR="00557D6B" w:rsidRDefault="000A0227" w:rsidP="008E22C2">
                  <w:pPr>
                    <w:framePr w:hSpace="180" w:wrap="around" w:vAnchor="page" w:hAnchor="margin" w:y="346"/>
                  </w:pPr>
                  <w:r>
                    <w:t xml:space="preserve"> 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DA7C10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</w:t>
                  </w:r>
                  <w:r w:rsidR="000B11C7"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>10,40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2 115,93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1 550,42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1 544, 0</w:t>
                  </w:r>
                  <w:r w:rsidR="00620853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DA7C10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4 945,17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rPr>
                      <w:lang w:val="ru-RU"/>
                    </w:rPr>
                    <w:t>1 987,67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</w:pPr>
                  <w:r>
                    <w:rPr>
                      <w:lang w:val="ru-RU"/>
                    </w:rPr>
                    <w:t>1 481,08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1476,42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>
                    <w:rPr>
                      <w:lang w:val="ru-RU"/>
                    </w:rPr>
                    <w:t>Управление экономики</w:t>
                  </w:r>
                </w:p>
              </w:tc>
            </w:tr>
            <w:tr w:rsidR="00557D6B" w:rsidRPr="008E22C2">
              <w:trPr>
                <w:trHeight w:val="12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</w:t>
                  </w:r>
                  <w:r w:rsidR="000B11C7">
                    <w:rPr>
                      <w:lang w:val="ru-RU"/>
                    </w:rPr>
                    <w:t>5</w:t>
                  </w:r>
                  <w:r>
                    <w:rPr>
                      <w:lang w:val="ru-RU"/>
                    </w:rPr>
                    <w:t>,</w:t>
                  </w:r>
                  <w:r w:rsidR="000B11C7">
                    <w:rPr>
                      <w:lang w:val="ru-RU"/>
                    </w:rPr>
                    <w:t>2</w:t>
                  </w:r>
                  <w:r w:rsidR="00620853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128,26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620853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69,34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67,63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Уровень обеспеченности органов местного самоуправления услугами информационных технологий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 w:rsidRPr="008E22C2">
              <w:trPr>
                <w:trHeight w:val="6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4.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23" w:type="dxa"/>
                  <w:gridSpan w:val="14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val="ru-RU" w:eastAsia="en-US"/>
                    </w:rPr>
                    <w:t>Формирование и содержание архива муниципального образования городское поселение Лянтор.</w:t>
                  </w:r>
                </w:p>
              </w:tc>
            </w:tr>
            <w:tr w:rsidR="00557D6B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48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Доля граждан, получивших муниципальные услуги надлежащего качества, из числа обратившихся в архив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%</w:t>
                  </w: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38" w:type="dxa"/>
                  <w:gridSpan w:val="3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557D6B">
              <w:trPr>
                <w:trHeight w:val="65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4.1.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Основное мероприятие: «Создание условий для комплектования и хранения  документов физических и юридических лиц»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Всего, в том числе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(тыс. 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95,70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 w:val="restart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557D6B">
              <w:trPr>
                <w:trHeight w:val="65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>За счёт средств, предоставленных бюджетом Сургутского района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t>(тыс. 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95,70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91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ind w:left="-84"/>
                    <w:jc w:val="center"/>
                  </w:pPr>
                  <w:r>
                    <w:t>- бюджет города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 xml:space="preserve">(тыс. </w:t>
                  </w:r>
                  <w:r>
                    <w:rPr>
                      <w:lang w:val="ru-RU"/>
                    </w:rPr>
                    <w:t>руб</w:t>
                  </w:r>
                  <w:r>
                    <w:t>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557D6B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 единиц хранения, в год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 xml:space="preserve">ед. 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6576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6766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6896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</w:tr>
            <w:tr w:rsidR="00557D6B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0A0227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4.2.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Основное мероприятие: «Использование архивных документов для предоставления архивных справок, архивных выписок, копий архивных документов»</w:t>
                  </w:r>
                  <w:r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557D6B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557D6B" w:rsidRDefault="00557D6B" w:rsidP="008E22C2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  <w:rPr>
                      <w:color w:val="FF0000"/>
                    </w:rPr>
                  </w:pPr>
                  <w:r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Качественное предоставление муниципальной услуги по выдаче архивных справок, выписок, архивных документов</w:t>
                  </w:r>
                </w:p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%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557D6B" w:rsidRDefault="000A0227" w:rsidP="008E22C2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557D6B" w:rsidRDefault="00557D6B" w:rsidP="008E22C2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557D6B" w:rsidRDefault="00557D6B">
            <w:pPr>
              <w:spacing w:line="288" w:lineRule="auto"/>
              <w:jc w:val="both"/>
              <w:rPr>
                <w:lang w:val="ru-RU"/>
              </w:rPr>
            </w:pPr>
          </w:p>
          <w:p w:rsidR="00557D6B" w:rsidRDefault="00557D6B">
            <w:pPr>
              <w:spacing w:line="288" w:lineRule="auto"/>
              <w:jc w:val="both"/>
              <w:rPr>
                <w:lang w:val="ru-RU"/>
              </w:rPr>
            </w:pPr>
          </w:p>
          <w:p w:rsidR="00557D6B" w:rsidRDefault="00557D6B">
            <w:pPr>
              <w:rPr>
                <w:rFonts w:eastAsiaTheme="minorEastAsia"/>
                <w:sz w:val="4"/>
                <w:szCs w:val="4"/>
              </w:rPr>
            </w:pPr>
          </w:p>
        </w:tc>
      </w:tr>
      <w:tr w:rsidR="00557D6B">
        <w:trPr>
          <w:trHeight w:val="281"/>
        </w:trPr>
        <w:tc>
          <w:tcPr>
            <w:tcW w:w="15448" w:type="dxa"/>
            <w:shd w:val="clear" w:color="auto" w:fill="auto"/>
            <w:vAlign w:val="center"/>
          </w:tcPr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557D6B">
            <w:pPr>
              <w:widowControl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557D6B" w:rsidRDefault="000A0227">
            <w:pPr>
              <w:widowControl w:val="0"/>
              <w:ind w:firstLine="72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557D6B" w:rsidRDefault="00557D6B">
            <w:pPr>
              <w:spacing w:line="288" w:lineRule="auto"/>
              <w:jc w:val="right"/>
              <w:rPr>
                <w:sz w:val="4"/>
                <w:szCs w:val="4"/>
                <w:lang w:val="ru-RU"/>
              </w:rPr>
            </w:pPr>
          </w:p>
        </w:tc>
      </w:tr>
    </w:tbl>
    <w:p w:rsidR="00557D6B" w:rsidRDefault="00557D6B">
      <w:pPr>
        <w:keepNext/>
        <w:widowControl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557D6B" w:rsidRDefault="000A0227">
      <w:pPr>
        <w:keepNext/>
        <w:widowControl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:rsidR="00557D6B" w:rsidRDefault="000A0227">
      <w:pPr>
        <w:keepNext/>
        <w:widowControl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557D6B" w:rsidRPr="008E22C2">
        <w:tc>
          <w:tcPr>
            <w:tcW w:w="624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557D6B">
        <w:tc>
          <w:tcPr>
            <w:tcW w:w="624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557D6B" w:rsidRDefault="00557D6B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 т.д.</w:t>
            </w:r>
          </w:p>
        </w:tc>
      </w:tr>
      <w:tr w:rsidR="00557D6B">
        <w:tc>
          <w:tcPr>
            <w:tcW w:w="62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57D6B" w:rsidRPr="008E22C2">
        <w:trPr>
          <w:trHeight w:val="442"/>
        </w:trPr>
        <w:tc>
          <w:tcPr>
            <w:tcW w:w="14193" w:type="dxa"/>
            <w:gridSpan w:val="13"/>
          </w:tcPr>
          <w:p w:rsidR="00557D6B" w:rsidRDefault="000A022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557D6B" w:rsidRDefault="00557D6B">
            <w:pPr>
              <w:widowControl w:val="0"/>
              <w:jc w:val="center"/>
              <w:rPr>
                <w:lang w:val="ru-RU"/>
              </w:rPr>
            </w:pPr>
          </w:p>
        </w:tc>
      </w:tr>
      <w:tr w:rsidR="00557D6B" w:rsidRPr="008E22C2">
        <w:trPr>
          <w:trHeight w:val="442"/>
        </w:trPr>
        <w:tc>
          <w:tcPr>
            <w:tcW w:w="14193" w:type="dxa"/>
            <w:gridSpan w:val="13"/>
          </w:tcPr>
          <w:p w:rsidR="00557D6B" w:rsidRDefault="000A0227">
            <w:pPr>
              <w:widowControl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557D6B" w:rsidRDefault="00557D6B">
            <w:pPr>
              <w:widowControl w:val="0"/>
              <w:jc w:val="center"/>
              <w:rPr>
                <w:lang w:val="ru-RU"/>
              </w:rPr>
            </w:pPr>
          </w:p>
        </w:tc>
      </w:tr>
    </w:tbl>
    <w:p w:rsidR="00557D6B" w:rsidRDefault="00557D6B">
      <w:pPr>
        <w:widowControl w:val="0"/>
        <w:rPr>
          <w:sz w:val="27"/>
          <w:szCs w:val="27"/>
          <w:lang w:val="ru-RU"/>
        </w:rPr>
      </w:pPr>
    </w:p>
    <w:p w:rsidR="00557D6B" w:rsidRDefault="00557D6B">
      <w:pPr>
        <w:widowControl w:val="0"/>
        <w:rPr>
          <w:sz w:val="27"/>
          <w:szCs w:val="27"/>
          <w:lang w:val="ru-RU"/>
        </w:rPr>
      </w:pPr>
    </w:p>
    <w:sectPr w:rsidR="00557D6B">
      <w:pgSz w:w="16838" w:h="11906" w:orient="landscape"/>
      <w:pgMar w:top="56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51" w:rsidRDefault="00991051">
      <w:r>
        <w:separator/>
      </w:r>
    </w:p>
  </w:endnote>
  <w:endnote w:type="continuationSeparator" w:id="0">
    <w:p w:rsidR="00991051" w:rsidRDefault="0099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51" w:rsidRDefault="00991051">
      <w:r>
        <w:separator/>
      </w:r>
    </w:p>
  </w:footnote>
  <w:footnote w:type="continuationSeparator" w:id="0">
    <w:p w:rsidR="00991051" w:rsidRDefault="0099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99D"/>
    <w:multiLevelType w:val="multilevel"/>
    <w:tmpl w:val="DE8EA6D6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">
    <w:nsid w:val="03B30A0F"/>
    <w:multiLevelType w:val="multilevel"/>
    <w:tmpl w:val="EB002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696682D"/>
    <w:multiLevelType w:val="hybridMultilevel"/>
    <w:tmpl w:val="C5C0D27E"/>
    <w:lvl w:ilvl="0" w:tplc="E16C9C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E64D7E4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81280C0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E8720A5A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700046D8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50E26F16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290762A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96C8E1CA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820EEB1E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851433B"/>
    <w:multiLevelType w:val="multilevel"/>
    <w:tmpl w:val="A1FCE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90356BE"/>
    <w:multiLevelType w:val="multilevel"/>
    <w:tmpl w:val="98D2163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5">
    <w:nsid w:val="0A145154"/>
    <w:multiLevelType w:val="multilevel"/>
    <w:tmpl w:val="3FE82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18C664D"/>
    <w:multiLevelType w:val="hybridMultilevel"/>
    <w:tmpl w:val="B2002DB6"/>
    <w:lvl w:ilvl="0" w:tplc="FAD8BB4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478C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43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60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C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A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A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6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5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246A"/>
    <w:multiLevelType w:val="hybridMultilevel"/>
    <w:tmpl w:val="42344F66"/>
    <w:lvl w:ilvl="0" w:tplc="73A60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A6822E">
      <w:start w:val="1"/>
      <w:numFmt w:val="decimal"/>
      <w:lvlText w:val=""/>
      <w:lvlJc w:val="left"/>
      <w:rPr>
        <w:rFonts w:cs="Times New Roman"/>
      </w:rPr>
    </w:lvl>
    <w:lvl w:ilvl="2" w:tplc="AF9CA9E6">
      <w:start w:val="1"/>
      <w:numFmt w:val="decimal"/>
      <w:lvlText w:val=""/>
      <w:lvlJc w:val="left"/>
      <w:rPr>
        <w:rFonts w:cs="Times New Roman"/>
      </w:rPr>
    </w:lvl>
    <w:lvl w:ilvl="3" w:tplc="8A648BC0">
      <w:start w:val="1"/>
      <w:numFmt w:val="decimal"/>
      <w:lvlText w:val=""/>
      <w:lvlJc w:val="left"/>
      <w:rPr>
        <w:rFonts w:cs="Times New Roman"/>
      </w:rPr>
    </w:lvl>
    <w:lvl w:ilvl="4" w:tplc="C8A6086E">
      <w:start w:val="1"/>
      <w:numFmt w:val="decimal"/>
      <w:lvlText w:val=""/>
      <w:lvlJc w:val="left"/>
      <w:rPr>
        <w:rFonts w:cs="Times New Roman"/>
      </w:rPr>
    </w:lvl>
    <w:lvl w:ilvl="5" w:tplc="BF5CDCBC">
      <w:start w:val="1"/>
      <w:numFmt w:val="decimal"/>
      <w:lvlText w:val=""/>
      <w:lvlJc w:val="left"/>
      <w:rPr>
        <w:rFonts w:cs="Times New Roman"/>
      </w:rPr>
    </w:lvl>
    <w:lvl w:ilvl="6" w:tplc="D1BA658A">
      <w:start w:val="1"/>
      <w:numFmt w:val="decimal"/>
      <w:lvlText w:val=""/>
      <w:lvlJc w:val="left"/>
      <w:rPr>
        <w:rFonts w:cs="Times New Roman"/>
      </w:rPr>
    </w:lvl>
    <w:lvl w:ilvl="7" w:tplc="DADE25A0">
      <w:start w:val="1"/>
      <w:numFmt w:val="decimal"/>
      <w:lvlText w:val=""/>
      <w:lvlJc w:val="left"/>
      <w:rPr>
        <w:rFonts w:cs="Times New Roman"/>
      </w:rPr>
    </w:lvl>
    <w:lvl w:ilvl="8" w:tplc="D8A4B60E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1DB1527D"/>
    <w:multiLevelType w:val="hybridMultilevel"/>
    <w:tmpl w:val="953EED80"/>
    <w:lvl w:ilvl="0" w:tplc="DC9CE170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278A39B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3C32AFDE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58DC474C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9FCE2624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A68CF380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C485B0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B140068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F660417E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>
    <w:nsid w:val="387F280D"/>
    <w:multiLevelType w:val="hybridMultilevel"/>
    <w:tmpl w:val="6112670C"/>
    <w:lvl w:ilvl="0" w:tplc="91B6770C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9348CC48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61D0E7BE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24CADEC0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2DAC04A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7C18297E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27E307A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2E1C37B4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6242F6B4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>
    <w:nsid w:val="3D6A53E6"/>
    <w:multiLevelType w:val="multilevel"/>
    <w:tmpl w:val="8E7225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3387C2F"/>
    <w:multiLevelType w:val="multilevel"/>
    <w:tmpl w:val="5D9A41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55C2812"/>
    <w:multiLevelType w:val="hybridMultilevel"/>
    <w:tmpl w:val="0DF861EE"/>
    <w:lvl w:ilvl="0" w:tplc="7EACEBC4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7F845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4D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6D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8D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C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4F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48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5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14751"/>
    <w:multiLevelType w:val="hybridMultilevel"/>
    <w:tmpl w:val="6C6A94F6"/>
    <w:lvl w:ilvl="0" w:tplc="4DD20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0C9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EA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3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47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CA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4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250D5"/>
    <w:multiLevelType w:val="hybridMultilevel"/>
    <w:tmpl w:val="7E6EA118"/>
    <w:lvl w:ilvl="0" w:tplc="94843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145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C1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AF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45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4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C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5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41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02490"/>
    <w:multiLevelType w:val="hybridMultilevel"/>
    <w:tmpl w:val="AC4C59EC"/>
    <w:lvl w:ilvl="0" w:tplc="107E0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FC86856">
      <w:start w:val="1"/>
      <w:numFmt w:val="lowerLetter"/>
      <w:lvlText w:val="%2."/>
      <w:lvlJc w:val="left"/>
      <w:pPr>
        <w:ind w:left="1788" w:hanging="360"/>
      </w:pPr>
    </w:lvl>
    <w:lvl w:ilvl="2" w:tplc="128866A4">
      <w:start w:val="1"/>
      <w:numFmt w:val="lowerRoman"/>
      <w:lvlText w:val="%3."/>
      <w:lvlJc w:val="right"/>
      <w:pPr>
        <w:ind w:left="2508" w:hanging="180"/>
      </w:pPr>
    </w:lvl>
    <w:lvl w:ilvl="3" w:tplc="330E1760">
      <w:start w:val="1"/>
      <w:numFmt w:val="decimal"/>
      <w:lvlText w:val="%4."/>
      <w:lvlJc w:val="left"/>
      <w:pPr>
        <w:ind w:left="3228" w:hanging="360"/>
      </w:pPr>
    </w:lvl>
    <w:lvl w:ilvl="4" w:tplc="263E5A4C">
      <w:start w:val="1"/>
      <w:numFmt w:val="lowerLetter"/>
      <w:lvlText w:val="%5."/>
      <w:lvlJc w:val="left"/>
      <w:pPr>
        <w:ind w:left="3948" w:hanging="360"/>
      </w:pPr>
    </w:lvl>
    <w:lvl w:ilvl="5" w:tplc="88CEB4AA">
      <w:start w:val="1"/>
      <w:numFmt w:val="lowerRoman"/>
      <w:lvlText w:val="%6."/>
      <w:lvlJc w:val="right"/>
      <w:pPr>
        <w:ind w:left="4668" w:hanging="180"/>
      </w:pPr>
    </w:lvl>
    <w:lvl w:ilvl="6" w:tplc="79923FF0">
      <w:start w:val="1"/>
      <w:numFmt w:val="decimal"/>
      <w:lvlText w:val="%7."/>
      <w:lvlJc w:val="left"/>
      <w:pPr>
        <w:ind w:left="5388" w:hanging="360"/>
      </w:pPr>
    </w:lvl>
    <w:lvl w:ilvl="7" w:tplc="471C6592">
      <w:start w:val="1"/>
      <w:numFmt w:val="lowerLetter"/>
      <w:lvlText w:val="%8."/>
      <w:lvlJc w:val="left"/>
      <w:pPr>
        <w:ind w:left="6108" w:hanging="360"/>
      </w:pPr>
    </w:lvl>
    <w:lvl w:ilvl="8" w:tplc="0EE4989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604898"/>
    <w:multiLevelType w:val="hybridMultilevel"/>
    <w:tmpl w:val="6A269896"/>
    <w:lvl w:ilvl="0" w:tplc="47087A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AE87C6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BE065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FEA70E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30AF43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B3E04C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FA886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50BCE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ED0166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0C0A97"/>
    <w:multiLevelType w:val="multilevel"/>
    <w:tmpl w:val="F3022E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8">
    <w:nsid w:val="6CE556FC"/>
    <w:multiLevelType w:val="multilevel"/>
    <w:tmpl w:val="5720E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2E17653"/>
    <w:multiLevelType w:val="hybridMultilevel"/>
    <w:tmpl w:val="4768C0C6"/>
    <w:lvl w:ilvl="0" w:tplc="0E94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3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0B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61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4EA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096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EB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6DE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6FD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3"/>
  </w:num>
  <w:num w:numId="15">
    <w:abstractNumId w:val="6"/>
  </w:num>
  <w:num w:numId="16">
    <w:abstractNumId w:val="2"/>
  </w:num>
  <w:num w:numId="17">
    <w:abstractNumId w:val="16"/>
  </w:num>
  <w:num w:numId="18">
    <w:abstractNumId w:val="18"/>
  </w:num>
  <w:num w:numId="19">
    <w:abstractNumId w:val="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B"/>
    <w:rsid w:val="000A0227"/>
    <w:rsid w:val="000B11C7"/>
    <w:rsid w:val="00147D4F"/>
    <w:rsid w:val="00253795"/>
    <w:rsid w:val="00267AC4"/>
    <w:rsid w:val="002B1C68"/>
    <w:rsid w:val="00314E9E"/>
    <w:rsid w:val="00557D6B"/>
    <w:rsid w:val="00620853"/>
    <w:rsid w:val="00665AC8"/>
    <w:rsid w:val="008408AF"/>
    <w:rsid w:val="008E22C2"/>
    <w:rsid w:val="00985522"/>
    <w:rsid w:val="00991051"/>
    <w:rsid w:val="00A35C5F"/>
    <w:rsid w:val="00AF733E"/>
    <w:rsid w:val="00BD4964"/>
    <w:rsid w:val="00DA5ABA"/>
    <w:rsid w:val="00D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031D-EE23-4E0A-87D1-4141664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sz w:val="24"/>
      <w:szCs w:val="24"/>
      <w:lang w:val="ru-RU"/>
    </w:rPr>
  </w:style>
  <w:style w:type="character" w:styleId="af4">
    <w:name w:val="Hyperlink"/>
    <w:basedOn w:val="a0"/>
    <w:uiPriority w:val="99"/>
    <w:unhideWhenUsed/>
    <w:rPr>
      <w:color w:val="0064CF"/>
      <w:u w:val="single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basedOn w:val="a0"/>
    <w:link w:val="af5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7">
    <w:name w:val="Основной текст_"/>
    <w:link w:val="33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7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  <w:lang w:eastAsia="ru-RU"/>
    </w:rPr>
  </w:style>
  <w:style w:type="character" w:styleId="af8">
    <w:name w:val="Emphasis"/>
    <w:basedOn w:val="a0"/>
    <w:uiPriority w:val="20"/>
    <w:qFormat/>
    <w:rPr>
      <w:rFonts w:ascii="Times New Roman" w:hAnsi="Times New Roman" w:cs="Times New Roman" w:hint="default"/>
      <w:i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a">
    <w:name w:val="Цветовое выделение"/>
    <w:uiPriority w:val="99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Pr>
      <w:rFonts w:cs="Times New Roman"/>
      <w:b/>
      <w:color w:val="106BBE"/>
    </w:rPr>
  </w:style>
  <w:style w:type="paragraph" w:customStyle="1" w:styleId="afc">
    <w:name w:val="Текст информации об изменениях"/>
    <w:basedOn w:val="a"/>
    <w:next w:val="a"/>
    <w:uiPriority w:val="99"/>
    <w:pPr>
      <w:widowControl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pPr>
      <w:widowControl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f">
    <w:name w:val="Комментарий"/>
    <w:basedOn w:val="afe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Pr>
      <w:i/>
      <w:iCs/>
    </w:rPr>
  </w:style>
  <w:style w:type="paragraph" w:customStyle="1" w:styleId="aff1">
    <w:name w:val="Комментарий пользователя"/>
    <w:basedOn w:val="aff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f3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4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f5">
    <w:name w:val="Цветовое выделение для Текст"/>
    <w:uiPriority w:val="99"/>
  </w:style>
  <w:style w:type="character" w:styleId="aff6">
    <w:name w:val="FollowedHyperlink"/>
    <w:basedOn w:val="a0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customStyle="1" w:styleId="aff7">
    <w:name w:val="Таблицы (моноширинный)"/>
    <w:basedOn w:val="a"/>
    <w:next w:val="a"/>
    <w:uiPriority w:val="99"/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4">
    <w:name w:val="Сетка таблицы1"/>
    <w:basedOn w:val="a1"/>
    <w:next w:val="ac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pPr>
      <w:widowControl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a">
    <w:name w:val="Текст примечания Знак"/>
    <w:basedOn w:val="a0"/>
    <w:link w:val="aff9"/>
    <w:uiPriority w:val="99"/>
    <w:semiHidden/>
    <w:rPr>
      <w:rFonts w:ascii="Arial" w:eastAsiaTheme="minorEastAsia" w:hAnsi="Arial" w:cs="Arial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e">
    <w:name w:val="footnote text"/>
    <w:basedOn w:val="a"/>
    <w:link w:val="afff"/>
  </w:style>
  <w:style w:type="character" w:customStyle="1" w:styleId="afff">
    <w:name w:val="Текст сноски Знак"/>
    <w:basedOn w:val="a0"/>
    <w:link w:val="aff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0">
    <w:name w:val="footnote reference"/>
    <w:rPr>
      <w:vertAlign w:val="superscript"/>
    </w:rPr>
  </w:style>
  <w:style w:type="character" w:styleId="afff1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0A33-41A8-4E7D-B6BA-E5AA4869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21</Pages>
  <Words>6187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Дадашова Наталья Федоровна</cp:lastModifiedBy>
  <cp:revision>34</cp:revision>
  <cp:lastPrinted>2022-11-03T04:49:00Z</cp:lastPrinted>
  <dcterms:created xsi:type="dcterms:W3CDTF">2022-03-18T14:21:00Z</dcterms:created>
  <dcterms:modified xsi:type="dcterms:W3CDTF">2022-11-04T05:26:00Z</dcterms:modified>
</cp:coreProperties>
</file>