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2FB2" w:rsidRDefault="00C72FB2" w:rsidP="00C72FB2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9" o:title="" blacklevel="-1966f"/>
          </v:shape>
          <o:OLEObject Type="Embed" ProgID="CorelDraw.Graphic.12" ShapeID="_x0000_i1025" DrawAspect="Content" ObjectID="_1471260879" r:id="rId10"/>
        </w:object>
      </w:r>
    </w:p>
    <w:p w:rsidR="00C72FB2" w:rsidRPr="004024F6" w:rsidRDefault="00C72FB2" w:rsidP="00C72FB2">
      <w:pPr>
        <w:jc w:val="center"/>
        <w:rPr>
          <w:b/>
          <w:sz w:val="16"/>
          <w:szCs w:val="16"/>
        </w:rPr>
      </w:pPr>
    </w:p>
    <w:p w:rsidR="00C72FB2" w:rsidRPr="00CE2598" w:rsidRDefault="00C72FB2" w:rsidP="00C72FB2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C72FB2" w:rsidRPr="00CE2598" w:rsidRDefault="00C72FB2" w:rsidP="00C72FB2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C72FB2" w:rsidRPr="00CE2598" w:rsidRDefault="00C72FB2" w:rsidP="00C72FB2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C72FB2" w:rsidRPr="00CE2598" w:rsidRDefault="00C72FB2" w:rsidP="00C72FB2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C72FB2" w:rsidRPr="00CE2598" w:rsidRDefault="00C72FB2" w:rsidP="00C72FB2">
      <w:pPr>
        <w:jc w:val="center"/>
        <w:rPr>
          <w:b/>
          <w:sz w:val="32"/>
        </w:rPr>
      </w:pPr>
    </w:p>
    <w:p w:rsidR="00C72FB2" w:rsidRPr="00CE2598" w:rsidRDefault="00C72FB2" w:rsidP="00C72FB2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C72FB2" w:rsidRPr="00CE2598" w:rsidRDefault="00C72FB2" w:rsidP="00C72FB2"/>
    <w:p w:rsidR="00C72FB2" w:rsidRPr="003A7637" w:rsidRDefault="00C72FB2" w:rsidP="00C72FB2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417AC5">
        <w:rPr>
          <w:sz w:val="28"/>
          <w:szCs w:val="28"/>
        </w:rPr>
        <w:t>01</w:t>
      </w:r>
      <w:r w:rsidRPr="003A7637">
        <w:rPr>
          <w:sz w:val="28"/>
          <w:szCs w:val="28"/>
        </w:rPr>
        <w:t xml:space="preserve">» </w:t>
      </w:r>
      <w:r w:rsidR="00417AC5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AC5">
        <w:rPr>
          <w:sz w:val="28"/>
          <w:szCs w:val="28"/>
        </w:rPr>
        <w:tab/>
      </w:r>
      <w:r w:rsidR="00417AC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17AC5">
        <w:rPr>
          <w:sz w:val="28"/>
          <w:szCs w:val="28"/>
        </w:rPr>
        <w:t>614</w:t>
      </w:r>
    </w:p>
    <w:p w:rsidR="00C72FB2" w:rsidRPr="003A7637" w:rsidRDefault="00C72FB2" w:rsidP="00C72FB2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C72FB2" w:rsidRPr="00CE2598" w:rsidRDefault="00C72FB2" w:rsidP="00C72FB2">
      <w:pPr>
        <w:rPr>
          <w:sz w:val="28"/>
          <w:szCs w:val="28"/>
        </w:rPr>
      </w:pPr>
    </w:p>
    <w:p w:rsidR="00B1002A" w:rsidRPr="0007286A" w:rsidRDefault="00157472" w:rsidP="004E1D38">
      <w:pPr>
        <w:jc w:val="both"/>
        <w:rPr>
          <w:sz w:val="28"/>
          <w:szCs w:val="28"/>
        </w:rPr>
      </w:pPr>
      <w:r w:rsidRPr="0007286A">
        <w:rPr>
          <w:sz w:val="28"/>
          <w:szCs w:val="28"/>
        </w:rPr>
        <w:t>О внесении изменений в постановление</w:t>
      </w:r>
      <w:r w:rsidR="00B1002A" w:rsidRPr="0007286A">
        <w:rPr>
          <w:sz w:val="28"/>
          <w:szCs w:val="28"/>
        </w:rPr>
        <w:t xml:space="preserve"> </w:t>
      </w:r>
      <w:r w:rsidRPr="0007286A">
        <w:rPr>
          <w:sz w:val="28"/>
          <w:szCs w:val="28"/>
        </w:rPr>
        <w:t>Администрации</w:t>
      </w:r>
    </w:p>
    <w:p w:rsidR="00B1002A" w:rsidRPr="0007286A" w:rsidRDefault="00157472" w:rsidP="004E1D38">
      <w:pPr>
        <w:jc w:val="both"/>
        <w:rPr>
          <w:sz w:val="28"/>
          <w:szCs w:val="28"/>
        </w:rPr>
      </w:pPr>
      <w:r w:rsidRPr="0007286A">
        <w:rPr>
          <w:sz w:val="28"/>
          <w:szCs w:val="28"/>
        </w:rPr>
        <w:t>г</w:t>
      </w:r>
      <w:r w:rsidR="00B1002A" w:rsidRPr="0007286A">
        <w:rPr>
          <w:sz w:val="28"/>
          <w:szCs w:val="28"/>
        </w:rPr>
        <w:t>ородск</w:t>
      </w:r>
      <w:r w:rsidR="00FD5E78" w:rsidRPr="0007286A">
        <w:rPr>
          <w:sz w:val="28"/>
          <w:szCs w:val="28"/>
        </w:rPr>
        <w:t>ого</w:t>
      </w:r>
      <w:r w:rsidR="00B1002A" w:rsidRPr="0007286A">
        <w:rPr>
          <w:sz w:val="28"/>
          <w:szCs w:val="28"/>
        </w:rPr>
        <w:t xml:space="preserve"> поселени</w:t>
      </w:r>
      <w:r w:rsidR="00FD5E78" w:rsidRPr="0007286A">
        <w:rPr>
          <w:sz w:val="28"/>
          <w:szCs w:val="28"/>
        </w:rPr>
        <w:t>я</w:t>
      </w:r>
      <w:r w:rsidR="00B1002A" w:rsidRPr="0007286A">
        <w:rPr>
          <w:sz w:val="28"/>
          <w:szCs w:val="28"/>
        </w:rPr>
        <w:t xml:space="preserve"> </w:t>
      </w:r>
      <w:r w:rsidRPr="0007286A">
        <w:rPr>
          <w:sz w:val="28"/>
          <w:szCs w:val="28"/>
        </w:rPr>
        <w:t>Лянтор</w:t>
      </w:r>
      <w:r w:rsidR="00B1002A" w:rsidRPr="0007286A">
        <w:rPr>
          <w:sz w:val="28"/>
          <w:szCs w:val="28"/>
        </w:rPr>
        <w:t xml:space="preserve"> от 30 декабря </w:t>
      </w:r>
      <w:r w:rsidR="002359ED" w:rsidRPr="0007286A">
        <w:rPr>
          <w:sz w:val="28"/>
          <w:szCs w:val="28"/>
        </w:rPr>
        <w:t>2013</w:t>
      </w:r>
      <w:r w:rsidRPr="0007286A">
        <w:rPr>
          <w:sz w:val="28"/>
          <w:szCs w:val="28"/>
        </w:rPr>
        <w:t xml:space="preserve"> года</w:t>
      </w:r>
      <w:r w:rsidR="00B1002A" w:rsidRPr="0007286A">
        <w:rPr>
          <w:sz w:val="28"/>
          <w:szCs w:val="28"/>
        </w:rPr>
        <w:t xml:space="preserve"> №703</w:t>
      </w:r>
    </w:p>
    <w:p w:rsidR="00CE3E6E" w:rsidRPr="0007286A" w:rsidRDefault="00157472" w:rsidP="004E1D38">
      <w:pPr>
        <w:jc w:val="both"/>
        <w:rPr>
          <w:sz w:val="28"/>
          <w:szCs w:val="28"/>
        </w:rPr>
      </w:pPr>
      <w:r w:rsidRPr="0007286A">
        <w:rPr>
          <w:sz w:val="28"/>
          <w:szCs w:val="28"/>
        </w:rPr>
        <w:t>«</w:t>
      </w:r>
      <w:r w:rsidR="00CE3E6E" w:rsidRPr="0007286A">
        <w:rPr>
          <w:sz w:val="28"/>
          <w:szCs w:val="28"/>
        </w:rPr>
        <w:t>О плане мероприятий («дорожной карте»)</w:t>
      </w:r>
    </w:p>
    <w:p w:rsidR="00CE3E6E" w:rsidRPr="0007286A" w:rsidRDefault="00CE3E6E" w:rsidP="004E1D38">
      <w:pPr>
        <w:rPr>
          <w:sz w:val="28"/>
          <w:szCs w:val="28"/>
        </w:rPr>
      </w:pPr>
      <w:r w:rsidRPr="0007286A">
        <w:rPr>
          <w:sz w:val="28"/>
          <w:szCs w:val="28"/>
        </w:rPr>
        <w:t>«Изменения в отраслях социальной сферы,</w:t>
      </w:r>
    </w:p>
    <w:p w:rsidR="00CE3E6E" w:rsidRPr="0007286A" w:rsidRDefault="00CE3E6E" w:rsidP="004E1D38">
      <w:pPr>
        <w:rPr>
          <w:sz w:val="28"/>
          <w:szCs w:val="28"/>
        </w:rPr>
      </w:pPr>
      <w:r w:rsidRPr="0007286A">
        <w:rPr>
          <w:sz w:val="28"/>
          <w:szCs w:val="28"/>
        </w:rPr>
        <w:t>направленные на повышение эффективности</w:t>
      </w:r>
    </w:p>
    <w:p w:rsidR="00CE3E6E" w:rsidRPr="0007286A" w:rsidRDefault="00CE3E6E" w:rsidP="004E1D38">
      <w:pPr>
        <w:rPr>
          <w:sz w:val="28"/>
          <w:szCs w:val="28"/>
        </w:rPr>
      </w:pPr>
      <w:r w:rsidRPr="0007286A">
        <w:rPr>
          <w:sz w:val="28"/>
          <w:szCs w:val="28"/>
        </w:rPr>
        <w:t>сферы культуры в городе Лянторе»</w:t>
      </w:r>
    </w:p>
    <w:p w:rsidR="0007286A" w:rsidRPr="0007286A" w:rsidRDefault="0007286A" w:rsidP="004E1D38">
      <w:pPr>
        <w:jc w:val="both"/>
        <w:rPr>
          <w:sz w:val="28"/>
          <w:szCs w:val="28"/>
        </w:rPr>
      </w:pPr>
    </w:p>
    <w:p w:rsidR="00467522" w:rsidRPr="0007286A" w:rsidRDefault="00157472" w:rsidP="00467522">
      <w:pPr>
        <w:pStyle w:val="a9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07286A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467522" w:rsidRPr="0007286A">
        <w:rPr>
          <w:rFonts w:ascii="Times New Roman" w:hAnsi="Times New Roman"/>
          <w:sz w:val="28"/>
          <w:szCs w:val="28"/>
          <w:lang w:val="ru-RU"/>
        </w:rPr>
        <w:t xml:space="preserve">правовых актов муниципального образования </w:t>
      </w:r>
      <w:r w:rsidR="00467522" w:rsidRPr="0007286A">
        <w:rPr>
          <w:rFonts w:ascii="Times New Roman" w:hAnsi="Times New Roman"/>
          <w:sz w:val="28"/>
          <w:szCs w:val="28"/>
        </w:rPr>
        <w:t xml:space="preserve">в соответствие </w:t>
      </w:r>
      <w:r w:rsidR="00467522" w:rsidRPr="0007286A">
        <w:rPr>
          <w:rFonts w:ascii="Times New Roman" w:hAnsi="Times New Roman"/>
          <w:sz w:val="28"/>
          <w:szCs w:val="28"/>
          <w:lang w:val="ru-RU"/>
        </w:rPr>
        <w:t>с федеральным законодательством, законодательством ХМАО-Югры:</w:t>
      </w:r>
    </w:p>
    <w:p w:rsidR="0007286A" w:rsidRPr="0007286A" w:rsidRDefault="00467522" w:rsidP="00CE7700">
      <w:pPr>
        <w:pStyle w:val="a9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07286A">
        <w:rPr>
          <w:rFonts w:ascii="Times New Roman" w:hAnsi="Times New Roman"/>
          <w:sz w:val="28"/>
          <w:szCs w:val="28"/>
          <w:lang w:val="ru-RU"/>
        </w:rPr>
        <w:t xml:space="preserve">1.Внести </w:t>
      </w:r>
      <w:r w:rsidR="0069122D">
        <w:rPr>
          <w:rFonts w:ascii="Times New Roman" w:hAnsi="Times New Roman"/>
          <w:sz w:val="28"/>
          <w:szCs w:val="28"/>
          <w:lang w:val="ru-RU"/>
        </w:rPr>
        <w:t xml:space="preserve">в постановление Администрации городского </w:t>
      </w:r>
      <w:r w:rsidRPr="0007286A">
        <w:rPr>
          <w:rFonts w:ascii="Times New Roman" w:hAnsi="Times New Roman"/>
          <w:sz w:val="28"/>
          <w:szCs w:val="28"/>
          <w:lang w:val="ru-RU"/>
        </w:rPr>
        <w:t>п</w:t>
      </w:r>
      <w:r w:rsidR="0069122D">
        <w:rPr>
          <w:rFonts w:ascii="Times New Roman" w:hAnsi="Times New Roman"/>
          <w:sz w:val="28"/>
          <w:szCs w:val="28"/>
          <w:lang w:val="ru-RU"/>
        </w:rPr>
        <w:t xml:space="preserve">оселения </w:t>
      </w:r>
      <w:r w:rsidRPr="0007286A">
        <w:rPr>
          <w:rFonts w:ascii="Times New Roman" w:hAnsi="Times New Roman"/>
          <w:sz w:val="28"/>
          <w:szCs w:val="28"/>
          <w:lang w:val="ru-RU"/>
        </w:rPr>
        <w:t xml:space="preserve">Лянтор от 30 декабря 2013 года №703 </w:t>
      </w:r>
      <w:r w:rsidRPr="0007286A">
        <w:rPr>
          <w:rFonts w:ascii="Times New Roman" w:hAnsi="Times New Roman"/>
          <w:sz w:val="28"/>
          <w:szCs w:val="28"/>
        </w:rPr>
        <w:t>«О плане мероприятий («дорожной карте») «Изменения в отраслях социальной сферы, направленные на повышение эффективности сферы культуры в городе Лянторе»</w:t>
      </w:r>
      <w:r w:rsidR="0007286A" w:rsidRPr="0007286A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07286A" w:rsidRPr="0007286A" w:rsidRDefault="0007286A" w:rsidP="00CE7700">
      <w:pPr>
        <w:pStyle w:val="a9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07286A">
        <w:rPr>
          <w:rFonts w:ascii="Times New Roman" w:hAnsi="Times New Roman"/>
          <w:sz w:val="28"/>
          <w:szCs w:val="28"/>
          <w:lang w:val="ru-RU"/>
        </w:rPr>
        <w:t xml:space="preserve">1.1.Изложить приложение к постановлению в новой редакции, согласно приложению к </w:t>
      </w:r>
      <w:r w:rsidRPr="0007286A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D41106" w:rsidRPr="0007286A" w:rsidRDefault="00B1002A" w:rsidP="00CE77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7286A">
        <w:rPr>
          <w:sz w:val="28"/>
          <w:szCs w:val="28"/>
        </w:rPr>
        <w:t>2.</w:t>
      </w:r>
      <w:r w:rsidR="00FD5E78" w:rsidRPr="0007286A">
        <w:rPr>
          <w:sz w:val="28"/>
          <w:szCs w:val="28"/>
        </w:rPr>
        <w:t xml:space="preserve"> </w:t>
      </w:r>
      <w:r w:rsidR="00D41106" w:rsidRPr="0007286A">
        <w:rPr>
          <w:color w:val="000000"/>
          <w:sz w:val="28"/>
          <w:szCs w:val="28"/>
        </w:rPr>
        <w:t xml:space="preserve">Рекомендовать муниципальным учреждениям культуры </w:t>
      </w:r>
      <w:proofErr w:type="spellStart"/>
      <w:r w:rsidR="00D41106" w:rsidRPr="0007286A">
        <w:rPr>
          <w:color w:val="000000"/>
          <w:sz w:val="28"/>
          <w:szCs w:val="28"/>
        </w:rPr>
        <w:t>г</w:t>
      </w:r>
      <w:proofErr w:type="gramStart"/>
      <w:r w:rsidR="00D41106" w:rsidRPr="0007286A">
        <w:rPr>
          <w:color w:val="000000"/>
          <w:sz w:val="28"/>
          <w:szCs w:val="28"/>
        </w:rPr>
        <w:t>.Л</w:t>
      </w:r>
      <w:proofErr w:type="gramEnd"/>
      <w:r w:rsidR="00D41106" w:rsidRPr="0007286A">
        <w:rPr>
          <w:color w:val="000000"/>
          <w:sz w:val="28"/>
          <w:szCs w:val="28"/>
        </w:rPr>
        <w:t>янтор</w:t>
      </w:r>
      <w:proofErr w:type="spellEnd"/>
      <w:r w:rsidR="00D41106" w:rsidRPr="0007286A">
        <w:rPr>
          <w:color w:val="000000"/>
          <w:sz w:val="28"/>
          <w:szCs w:val="28"/>
        </w:rPr>
        <w:t xml:space="preserve"> привести планы мероприятий учреждений («дорожные карты») «Изменения в отраслях социальной сферы, направленные на повышение эффективности сферы культуры</w:t>
      </w:r>
      <w:r w:rsidR="00FD5E78" w:rsidRPr="0007286A">
        <w:rPr>
          <w:color w:val="000000"/>
          <w:sz w:val="28"/>
          <w:szCs w:val="28"/>
        </w:rPr>
        <w:t xml:space="preserve"> в городе Лянторе</w:t>
      </w:r>
      <w:r w:rsidR="00D41106" w:rsidRPr="0007286A">
        <w:rPr>
          <w:color w:val="000000"/>
          <w:sz w:val="28"/>
          <w:szCs w:val="28"/>
        </w:rPr>
        <w:t>» в соответствие с данным постановлением.</w:t>
      </w:r>
    </w:p>
    <w:p w:rsidR="00CE3E6E" w:rsidRPr="0007286A" w:rsidRDefault="00CE3E6E" w:rsidP="00CE7700">
      <w:pPr>
        <w:ind w:firstLine="708"/>
        <w:jc w:val="both"/>
        <w:rPr>
          <w:sz w:val="28"/>
          <w:szCs w:val="28"/>
        </w:rPr>
      </w:pPr>
      <w:r w:rsidRPr="0007286A">
        <w:rPr>
          <w:sz w:val="28"/>
          <w:szCs w:val="28"/>
        </w:rPr>
        <w:t xml:space="preserve">3. </w:t>
      </w:r>
      <w:proofErr w:type="gramStart"/>
      <w:r w:rsidRPr="0007286A">
        <w:rPr>
          <w:sz w:val="28"/>
          <w:szCs w:val="28"/>
        </w:rPr>
        <w:t>Контроль за</w:t>
      </w:r>
      <w:proofErr w:type="gramEnd"/>
      <w:r w:rsidRPr="0007286A">
        <w:rPr>
          <w:sz w:val="28"/>
          <w:szCs w:val="28"/>
        </w:rPr>
        <w:t xml:space="preserve"> выполнением </w:t>
      </w:r>
      <w:r w:rsidR="002359ED" w:rsidRPr="0007286A">
        <w:rPr>
          <w:sz w:val="28"/>
          <w:szCs w:val="28"/>
        </w:rPr>
        <w:t xml:space="preserve">настоящего </w:t>
      </w:r>
      <w:r w:rsidRPr="0007286A">
        <w:rPr>
          <w:sz w:val="28"/>
          <w:szCs w:val="28"/>
        </w:rPr>
        <w:t>постановления оставляю за собой.</w:t>
      </w:r>
    </w:p>
    <w:p w:rsidR="00EE3114" w:rsidRPr="0007286A" w:rsidRDefault="00EE3114" w:rsidP="004E1D38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6C2" w:rsidRDefault="004376C2" w:rsidP="004E1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FB2" w:rsidRPr="0007286A" w:rsidRDefault="00C72FB2" w:rsidP="004E1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114" w:rsidRDefault="004D3D65" w:rsidP="004E1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D3D65" w:rsidRPr="0007286A" w:rsidRDefault="004D3D65" w:rsidP="004E1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Л.В.Зеленская</w:t>
      </w:r>
    </w:p>
    <w:p w:rsidR="00D41106" w:rsidRDefault="00D41106" w:rsidP="004E1D38">
      <w:pPr>
        <w:jc w:val="both"/>
        <w:rPr>
          <w:sz w:val="28"/>
          <w:szCs w:val="28"/>
        </w:rPr>
      </w:pPr>
    </w:p>
    <w:p w:rsidR="00D26BFA" w:rsidRDefault="00D26BFA" w:rsidP="004E1D38">
      <w:pPr>
        <w:jc w:val="both"/>
        <w:rPr>
          <w:sz w:val="28"/>
          <w:szCs w:val="28"/>
        </w:rPr>
      </w:pPr>
    </w:p>
    <w:p w:rsidR="00D26BFA" w:rsidRDefault="00D26BFA" w:rsidP="004E1D38">
      <w:pPr>
        <w:jc w:val="both"/>
        <w:rPr>
          <w:sz w:val="28"/>
          <w:szCs w:val="28"/>
        </w:rPr>
      </w:pPr>
    </w:p>
    <w:p w:rsidR="00D26BFA" w:rsidRDefault="00D26BFA" w:rsidP="004E1D38">
      <w:pPr>
        <w:jc w:val="both"/>
        <w:rPr>
          <w:sz w:val="28"/>
          <w:szCs w:val="28"/>
        </w:rPr>
      </w:pPr>
    </w:p>
    <w:p w:rsidR="004A30EB" w:rsidRDefault="004A30EB" w:rsidP="004E1D38">
      <w:pPr>
        <w:jc w:val="both"/>
        <w:rPr>
          <w:sz w:val="28"/>
          <w:szCs w:val="28"/>
        </w:rPr>
      </w:pPr>
    </w:p>
    <w:p w:rsidR="00CE3E6E" w:rsidRPr="00FA0B2A" w:rsidRDefault="00CE3E6E" w:rsidP="00E3426C">
      <w:pPr>
        <w:ind w:firstLine="5954"/>
        <w:jc w:val="both"/>
        <w:rPr>
          <w:sz w:val="22"/>
          <w:szCs w:val="22"/>
        </w:rPr>
      </w:pPr>
      <w:r w:rsidRPr="00FA0B2A">
        <w:rPr>
          <w:sz w:val="22"/>
          <w:szCs w:val="22"/>
        </w:rPr>
        <w:t>Приложение  к постановлению</w:t>
      </w:r>
    </w:p>
    <w:p w:rsidR="00CE3E6E" w:rsidRPr="00FA0B2A" w:rsidRDefault="00CE3E6E" w:rsidP="00E3426C">
      <w:pPr>
        <w:ind w:firstLine="5954"/>
        <w:rPr>
          <w:sz w:val="22"/>
          <w:szCs w:val="22"/>
        </w:rPr>
      </w:pPr>
      <w:r w:rsidRPr="00FA0B2A">
        <w:rPr>
          <w:sz w:val="22"/>
          <w:szCs w:val="22"/>
        </w:rPr>
        <w:t xml:space="preserve">Администрации </w:t>
      </w:r>
      <w:proofErr w:type="gramStart"/>
      <w:r w:rsidRPr="00FA0B2A">
        <w:rPr>
          <w:sz w:val="22"/>
          <w:szCs w:val="22"/>
        </w:rPr>
        <w:t>городского</w:t>
      </w:r>
      <w:proofErr w:type="gramEnd"/>
      <w:r w:rsidRPr="00FA0B2A">
        <w:rPr>
          <w:sz w:val="22"/>
          <w:szCs w:val="22"/>
        </w:rPr>
        <w:t xml:space="preserve"> </w:t>
      </w:r>
    </w:p>
    <w:p w:rsidR="00CE3E6E" w:rsidRPr="00FA0B2A" w:rsidRDefault="00CE3E6E" w:rsidP="00E3426C">
      <w:pPr>
        <w:ind w:firstLine="5954"/>
        <w:rPr>
          <w:sz w:val="22"/>
          <w:szCs w:val="22"/>
        </w:rPr>
      </w:pPr>
      <w:r w:rsidRPr="00FA0B2A">
        <w:rPr>
          <w:sz w:val="22"/>
          <w:szCs w:val="22"/>
        </w:rPr>
        <w:t>поселения Лянтор</w:t>
      </w:r>
    </w:p>
    <w:p w:rsidR="00CE3E6E" w:rsidRPr="00FA0B2A" w:rsidRDefault="00CE3E6E" w:rsidP="00E3426C">
      <w:pPr>
        <w:ind w:firstLine="5954"/>
        <w:rPr>
          <w:sz w:val="22"/>
          <w:szCs w:val="22"/>
        </w:rPr>
      </w:pPr>
      <w:r w:rsidRPr="00FA0B2A">
        <w:rPr>
          <w:sz w:val="22"/>
          <w:szCs w:val="22"/>
        </w:rPr>
        <w:t>от «</w:t>
      </w:r>
      <w:r w:rsidR="005347A6">
        <w:rPr>
          <w:sz w:val="22"/>
          <w:szCs w:val="22"/>
        </w:rPr>
        <w:t>01</w:t>
      </w:r>
      <w:r w:rsidRPr="00FA0B2A">
        <w:rPr>
          <w:sz w:val="22"/>
          <w:szCs w:val="22"/>
        </w:rPr>
        <w:t xml:space="preserve">» </w:t>
      </w:r>
      <w:r w:rsidR="005347A6">
        <w:rPr>
          <w:sz w:val="22"/>
          <w:szCs w:val="22"/>
        </w:rPr>
        <w:t>августа</w:t>
      </w:r>
      <w:r w:rsidRPr="00FA0B2A">
        <w:rPr>
          <w:sz w:val="22"/>
          <w:szCs w:val="22"/>
        </w:rPr>
        <w:t xml:space="preserve"> 201</w:t>
      </w:r>
      <w:r w:rsidR="00FD5E78" w:rsidRPr="00FA0B2A">
        <w:rPr>
          <w:sz w:val="22"/>
          <w:szCs w:val="22"/>
        </w:rPr>
        <w:t>4</w:t>
      </w:r>
      <w:r w:rsidRPr="00FA0B2A">
        <w:rPr>
          <w:sz w:val="22"/>
          <w:szCs w:val="22"/>
        </w:rPr>
        <w:t xml:space="preserve"> года № </w:t>
      </w:r>
      <w:r w:rsidR="005347A6">
        <w:rPr>
          <w:sz w:val="22"/>
          <w:szCs w:val="22"/>
        </w:rPr>
        <w:t>614</w:t>
      </w:r>
    </w:p>
    <w:p w:rsidR="00CE3E6E" w:rsidRPr="00FA0B2A" w:rsidRDefault="00CE3E6E" w:rsidP="004E1D38">
      <w:pPr>
        <w:jc w:val="both"/>
      </w:pPr>
    </w:p>
    <w:p w:rsidR="00CE3E6E" w:rsidRPr="00FA0B2A" w:rsidRDefault="00CE3E6E" w:rsidP="004E1D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E3E6E" w:rsidRPr="00FA0B2A" w:rsidRDefault="00CE3E6E" w:rsidP="004E1D3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:rsidR="00CE3E6E" w:rsidRPr="00FA0B2A" w:rsidRDefault="00CE3E6E" w:rsidP="004E1D3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«Изменения в отраслях социальной сферы, направленные на повышение эффективности сферы культуры в городе Лянторе»</w:t>
      </w:r>
    </w:p>
    <w:p w:rsidR="00CE3E6E" w:rsidRPr="00FA0B2A" w:rsidRDefault="00CE3E6E" w:rsidP="004E1D38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E3E6E" w:rsidRPr="00FA0B2A" w:rsidRDefault="00CE3E6E" w:rsidP="004E1D38">
      <w:pPr>
        <w:pStyle w:val="ab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Цели разработки плана мероприятий («дорожной карты») «Изменения в отраслях социальной сферы, направленные на повышение эффективности сферы культуры в городе Лянторе».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1.1. Целями разработки плана мероприятий («дорожной карты») «Изменения в отраслях социальной сферы, направленные на повышение эффективности сферы культуры в городе Лянторе» (далее – «дорожная карта») являются:</w:t>
      </w:r>
    </w:p>
    <w:p w:rsidR="00CE3E6E" w:rsidRPr="00FA0B2A" w:rsidRDefault="00CE3E6E" w:rsidP="004E1D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B2A">
        <w:rPr>
          <w:rFonts w:ascii="Times New Roman" w:hAnsi="Times New Roman"/>
          <w:sz w:val="24"/>
          <w:szCs w:val="24"/>
        </w:rPr>
        <w:t xml:space="preserve">- повышение качества муниципальных услуг, оказываемых муниципальными учреждениями культуры </w:t>
      </w:r>
      <w:r w:rsidR="000B2619" w:rsidRPr="00FA0B2A">
        <w:rPr>
          <w:rFonts w:ascii="Times New Roman" w:hAnsi="Times New Roman"/>
          <w:sz w:val="24"/>
          <w:szCs w:val="24"/>
        </w:rPr>
        <w:t xml:space="preserve">города Лянтора </w:t>
      </w:r>
      <w:r w:rsidRPr="00FA0B2A">
        <w:rPr>
          <w:rFonts w:ascii="Times New Roman" w:hAnsi="Times New Roman"/>
          <w:sz w:val="24"/>
          <w:szCs w:val="24"/>
        </w:rPr>
        <w:t>(далее - Учреждение),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населения, а также направленных на развитие межнационального и международного культурного обмена и сотрудничества;</w:t>
      </w:r>
      <w:proofErr w:type="gramEnd"/>
    </w:p>
    <w:p w:rsidR="00CE3E6E" w:rsidRPr="00FA0B2A" w:rsidRDefault="00CE3E6E" w:rsidP="004E1D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совершенствование системы оплаты труда работников Учреждений, в зависимости от их эффективного труда, как вклада в общие результаты деятельности Учреждения;</w:t>
      </w:r>
    </w:p>
    <w:p w:rsidR="00CE3E6E" w:rsidRPr="00FA0B2A" w:rsidRDefault="00402B10" w:rsidP="004E1D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 xml:space="preserve">- </w:t>
      </w:r>
      <w:r w:rsidR="00CE3E6E" w:rsidRPr="00FA0B2A">
        <w:rPr>
          <w:rFonts w:ascii="Times New Roman" w:hAnsi="Times New Roman"/>
          <w:sz w:val="24"/>
          <w:szCs w:val="24"/>
        </w:rPr>
        <w:t>сохранение высококвалифицированного персонала, развитие кадрового потенциала Учреждений;</w:t>
      </w:r>
    </w:p>
    <w:p w:rsidR="00CE3E6E" w:rsidRPr="00FA0B2A" w:rsidRDefault="00CE3E6E" w:rsidP="004E1D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повышение престижности и привлекательности работы в Учреждениях;</w:t>
      </w:r>
    </w:p>
    <w:p w:rsidR="00CE3E6E" w:rsidRPr="00FA0B2A" w:rsidRDefault="00CE3E6E" w:rsidP="004E1D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 xml:space="preserve">- сохранение культурного </w:t>
      </w:r>
      <w:r w:rsidR="000B2619" w:rsidRPr="00FA0B2A">
        <w:rPr>
          <w:rFonts w:ascii="Times New Roman" w:hAnsi="Times New Roman"/>
          <w:sz w:val="24"/>
          <w:szCs w:val="24"/>
        </w:rPr>
        <w:t xml:space="preserve">и исторического </w:t>
      </w:r>
      <w:r w:rsidRPr="00FA0B2A">
        <w:rPr>
          <w:rFonts w:ascii="Times New Roman" w:hAnsi="Times New Roman"/>
          <w:sz w:val="24"/>
          <w:szCs w:val="24"/>
        </w:rPr>
        <w:t>наследия города Лянтора;</w:t>
      </w:r>
    </w:p>
    <w:p w:rsidR="00CE3E6E" w:rsidRPr="00FA0B2A" w:rsidRDefault="00CE3E6E" w:rsidP="004E1D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обеспечение доступа граждан к культурным ценностям и участи</w:t>
      </w:r>
      <w:r w:rsidR="000B2619" w:rsidRPr="00FA0B2A">
        <w:rPr>
          <w:rFonts w:ascii="Times New Roman" w:hAnsi="Times New Roman"/>
          <w:sz w:val="24"/>
          <w:szCs w:val="24"/>
        </w:rPr>
        <w:t>ю</w:t>
      </w:r>
      <w:r w:rsidRPr="00FA0B2A">
        <w:rPr>
          <w:rFonts w:ascii="Times New Roman" w:hAnsi="Times New Roman"/>
          <w:sz w:val="24"/>
          <w:szCs w:val="24"/>
        </w:rPr>
        <w:t xml:space="preserve"> в культурной жизни города, реализация творческого потенциала;</w:t>
      </w:r>
    </w:p>
    <w:p w:rsidR="00CE3E6E" w:rsidRPr="00FA0B2A" w:rsidRDefault="00CE3E6E" w:rsidP="004E1D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культуры.</w:t>
      </w:r>
    </w:p>
    <w:p w:rsidR="00CE3E6E" w:rsidRPr="00FA0B2A" w:rsidRDefault="00CE3E6E" w:rsidP="004E1D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E3E6E" w:rsidRPr="00FA0B2A" w:rsidRDefault="00CE3E6E" w:rsidP="004E1D38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1" w:name="Par55"/>
      <w:bookmarkEnd w:id="1"/>
      <w:r w:rsidRPr="00FA0B2A">
        <w:rPr>
          <w:rFonts w:ascii="Times New Roman" w:hAnsi="Times New Roman"/>
          <w:sz w:val="24"/>
          <w:szCs w:val="24"/>
        </w:rPr>
        <w:t>2. Проведение структурных реформ в сфере культуры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2.1. В процессе структурных реформ предусматриваются: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расширение и совершенствование спектра муниципальных услуг в сфере культуры;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обеспечение доступн</w:t>
      </w:r>
      <w:r w:rsidR="000B2619" w:rsidRPr="00FA0B2A">
        <w:rPr>
          <w:rFonts w:ascii="Times New Roman" w:hAnsi="Times New Roman"/>
          <w:sz w:val="24"/>
          <w:szCs w:val="24"/>
        </w:rPr>
        <w:t>ости к культурному продукту путё</w:t>
      </w:r>
      <w:r w:rsidRPr="00FA0B2A">
        <w:rPr>
          <w:rFonts w:ascii="Times New Roman" w:hAnsi="Times New Roman"/>
          <w:sz w:val="24"/>
          <w:szCs w:val="24"/>
        </w:rPr>
        <w:t xml:space="preserve">м развития информатизации сферы культуры;  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формирование условий для наиболее полной профессиональной самореализации работников Учреждений;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- создание условий для творческ</w:t>
      </w:r>
      <w:r w:rsidR="000B2619" w:rsidRPr="00FA0B2A">
        <w:rPr>
          <w:rFonts w:ascii="Times New Roman" w:hAnsi="Times New Roman"/>
          <w:sz w:val="24"/>
          <w:szCs w:val="24"/>
        </w:rPr>
        <w:t>ой самореализации населения путё</w:t>
      </w:r>
      <w:r w:rsidRPr="00FA0B2A">
        <w:rPr>
          <w:rFonts w:ascii="Times New Roman" w:hAnsi="Times New Roman"/>
          <w:sz w:val="24"/>
          <w:szCs w:val="24"/>
        </w:rPr>
        <w:t>м совершенствования систем культурно-просветительской работы, организации досуга в сфере культуры.</w:t>
      </w:r>
    </w:p>
    <w:p w:rsidR="00CE3E6E" w:rsidRPr="00FA0B2A" w:rsidRDefault="00CE3E6E" w:rsidP="004E1D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E3E6E" w:rsidRPr="00FA0B2A" w:rsidRDefault="00CE3E6E" w:rsidP="004E1D38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2" w:name="Par66"/>
      <w:bookmarkEnd w:id="2"/>
      <w:r w:rsidRPr="00FA0B2A">
        <w:rPr>
          <w:rFonts w:ascii="Times New Roman" w:hAnsi="Times New Roman"/>
          <w:sz w:val="24"/>
          <w:szCs w:val="24"/>
        </w:rPr>
        <w:t>3. Целевые показатели (индикаторы) развития сферы культуры</w:t>
      </w:r>
    </w:p>
    <w:p w:rsidR="00CE3E6E" w:rsidRPr="00FA0B2A" w:rsidRDefault="00CE3E6E" w:rsidP="004E1D3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и меры, обеспечивающие их достижение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CE3E6E" w:rsidRPr="00FA0B2A" w:rsidRDefault="00CE3E6E" w:rsidP="004E1D3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3.1.1. Увеличение количества библиографических записей в электронн</w:t>
      </w:r>
      <w:r w:rsidR="000B2619" w:rsidRPr="00FA0B2A">
        <w:rPr>
          <w:rFonts w:ascii="Times New Roman" w:hAnsi="Times New Roman"/>
          <w:sz w:val="24"/>
          <w:szCs w:val="24"/>
        </w:rPr>
        <w:t>ых каталогах</w:t>
      </w:r>
      <w:r w:rsidRPr="00FA0B2A">
        <w:rPr>
          <w:rFonts w:ascii="Times New Roman" w:hAnsi="Times New Roman"/>
          <w:sz w:val="24"/>
          <w:szCs w:val="24"/>
        </w:rPr>
        <w:t xml:space="preserve"> библиотек МУК «Лянторская централизованная библиотечная система» (</w:t>
      </w:r>
      <w:r w:rsidR="000B2619" w:rsidRPr="00FA0B2A">
        <w:rPr>
          <w:rFonts w:ascii="Times New Roman" w:hAnsi="Times New Roman"/>
          <w:sz w:val="24"/>
          <w:szCs w:val="24"/>
        </w:rPr>
        <w:t>по сравнению с предыдущим годом</w:t>
      </w:r>
      <w:r w:rsidRPr="00FA0B2A">
        <w:rPr>
          <w:rFonts w:ascii="Times New Roman" w:hAnsi="Times New Roman"/>
          <w:sz w:val="24"/>
          <w:szCs w:val="24"/>
        </w:rPr>
        <w:t>):</w:t>
      </w:r>
    </w:p>
    <w:p w:rsidR="00CE3E6E" w:rsidRPr="00FA0B2A" w:rsidRDefault="00CE3E6E" w:rsidP="004E1D38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(процент)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65"/>
        <w:gridCol w:w="1065"/>
        <w:gridCol w:w="946"/>
        <w:gridCol w:w="1065"/>
        <w:gridCol w:w="1065"/>
        <w:gridCol w:w="1185"/>
        <w:gridCol w:w="2543"/>
      </w:tblGrid>
      <w:tr w:rsidR="000B2619" w:rsidRPr="00FA0B2A" w:rsidTr="00C72FB2">
        <w:tc>
          <w:tcPr>
            <w:tcW w:w="919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065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065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46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065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065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85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543" w:type="dxa"/>
            <w:vAlign w:val="center"/>
          </w:tcPr>
          <w:p w:rsidR="000B2619" w:rsidRPr="00FA0B2A" w:rsidRDefault="000B261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0B2619" w:rsidRPr="00FA0B2A" w:rsidTr="00C72FB2">
        <w:tc>
          <w:tcPr>
            <w:tcW w:w="919" w:type="dxa"/>
            <w:vAlign w:val="center"/>
          </w:tcPr>
          <w:p w:rsidR="000B2619" w:rsidRPr="00FA0B2A" w:rsidRDefault="00E173C6" w:rsidP="00E173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65" w:type="dxa"/>
            <w:vAlign w:val="center"/>
          </w:tcPr>
          <w:p w:rsidR="000B2619" w:rsidRPr="00FA0B2A" w:rsidRDefault="000B2619" w:rsidP="00E173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0B2619" w:rsidRPr="00FA0B2A" w:rsidRDefault="00E173C6" w:rsidP="00E173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0B2619" w:rsidRPr="00FA0B2A" w:rsidRDefault="00E173C6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0B2619" w:rsidRPr="00FA0B2A" w:rsidRDefault="00E173C6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0B2619" w:rsidRPr="00FA0B2A" w:rsidRDefault="000B2619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vAlign w:val="center"/>
          </w:tcPr>
          <w:p w:rsidR="000B2619" w:rsidRPr="00FA0B2A" w:rsidRDefault="000B2619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vAlign w:val="center"/>
          </w:tcPr>
          <w:p w:rsidR="000B2619" w:rsidRPr="00FA0B2A" w:rsidRDefault="00D26BFA" w:rsidP="00D26BF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( 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</w:t>
            </w:r>
            <w:r w:rsidR="00982BA0" w:rsidRPr="00FA0B2A">
              <w:rPr>
                <w:rFonts w:ascii="Times New Roman" w:hAnsi="Times New Roman"/>
                <w:sz w:val="24"/>
                <w:szCs w:val="24"/>
              </w:rPr>
              <w:t>, иные источники финансирования</w:t>
            </w:r>
          </w:p>
        </w:tc>
      </w:tr>
    </w:tbl>
    <w:p w:rsidR="00CE3E6E" w:rsidRPr="00FA0B2A" w:rsidRDefault="00CE3E6E" w:rsidP="004E1D38">
      <w:pPr>
        <w:pStyle w:val="a9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color w:val="000000"/>
          <w:sz w:val="24"/>
          <w:szCs w:val="24"/>
        </w:rPr>
        <w:lastRenderedPageBreak/>
        <w:t xml:space="preserve">3.1.2. </w:t>
      </w:r>
      <w:r w:rsidR="00982BA0" w:rsidRPr="00FA0B2A">
        <w:rPr>
          <w:rFonts w:ascii="Times New Roman" w:hAnsi="Times New Roman"/>
          <w:sz w:val="24"/>
          <w:szCs w:val="24"/>
        </w:rPr>
        <w:t>Увеличение д</w:t>
      </w:r>
      <w:r w:rsidRPr="00FA0B2A">
        <w:rPr>
          <w:rFonts w:ascii="Times New Roman" w:hAnsi="Times New Roman"/>
          <w:color w:val="000000"/>
          <w:sz w:val="24"/>
          <w:szCs w:val="24"/>
        </w:rPr>
        <w:t>ол</w:t>
      </w:r>
      <w:r w:rsidR="00982BA0" w:rsidRPr="00FA0B2A">
        <w:rPr>
          <w:rFonts w:ascii="Times New Roman" w:hAnsi="Times New Roman"/>
          <w:color w:val="000000"/>
          <w:sz w:val="24"/>
          <w:szCs w:val="24"/>
        </w:rPr>
        <w:t>и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представленных (во всех формах) зрителю музейных предметов в общем количестве музейных предметов основного фонда МУК «</w:t>
      </w:r>
      <w:proofErr w:type="spellStart"/>
      <w:r w:rsidRPr="00FA0B2A">
        <w:rPr>
          <w:rFonts w:ascii="Times New Roman" w:hAnsi="Times New Roman"/>
          <w:color w:val="000000"/>
          <w:sz w:val="24"/>
          <w:szCs w:val="24"/>
        </w:rPr>
        <w:t>Лянторский</w:t>
      </w:r>
      <w:proofErr w:type="spellEnd"/>
      <w:r w:rsidRPr="00FA0B2A">
        <w:rPr>
          <w:rFonts w:ascii="Times New Roman" w:hAnsi="Times New Roman"/>
          <w:color w:val="000000"/>
          <w:sz w:val="24"/>
          <w:szCs w:val="24"/>
        </w:rPr>
        <w:t xml:space="preserve"> хантыйский этнографический музей»:</w:t>
      </w:r>
    </w:p>
    <w:p w:rsidR="00CE3E6E" w:rsidRPr="00FA0B2A" w:rsidRDefault="00CE3E6E" w:rsidP="004E1D38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sz w:val="24"/>
          <w:szCs w:val="24"/>
        </w:rPr>
        <w:t>(процент)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1134"/>
        <w:gridCol w:w="1276"/>
        <w:gridCol w:w="2693"/>
      </w:tblGrid>
      <w:tr w:rsidR="00982BA0" w:rsidRPr="00FA0B2A" w:rsidTr="00C72FB2">
        <w:tc>
          <w:tcPr>
            <w:tcW w:w="959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vAlign w:val="center"/>
          </w:tcPr>
          <w:p w:rsidR="00982BA0" w:rsidRPr="00FA0B2A" w:rsidRDefault="00982BA0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982BA0" w:rsidRPr="00FA0B2A" w:rsidTr="00C72FB2">
        <w:tc>
          <w:tcPr>
            <w:tcW w:w="959" w:type="dxa"/>
            <w:vAlign w:val="center"/>
          </w:tcPr>
          <w:p w:rsidR="00982BA0" w:rsidRPr="00FA0B2A" w:rsidRDefault="0005302E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982BA0" w:rsidRPr="00FA0B2A" w:rsidRDefault="0005302E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82BA0" w:rsidRPr="00FA0B2A" w:rsidRDefault="00982BA0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82BA0" w:rsidRPr="00FA0B2A" w:rsidRDefault="00982BA0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82BA0" w:rsidRPr="00FA0B2A" w:rsidRDefault="00982BA0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82BA0" w:rsidRPr="00FA0B2A" w:rsidRDefault="00982BA0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982BA0" w:rsidRPr="00FA0B2A" w:rsidRDefault="00982BA0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982BA0" w:rsidRPr="00FA0B2A" w:rsidRDefault="00982BA0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ab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 xml:space="preserve">3.1.3. Увеличение посещаемости </w:t>
      </w:r>
      <w:r w:rsidRPr="00FA0B2A">
        <w:rPr>
          <w:color w:val="000000"/>
          <w:sz w:val="24"/>
          <w:szCs w:val="24"/>
        </w:rPr>
        <w:t>МУК «</w:t>
      </w:r>
      <w:proofErr w:type="spellStart"/>
      <w:r w:rsidRPr="00FA0B2A">
        <w:rPr>
          <w:color w:val="000000"/>
          <w:sz w:val="24"/>
          <w:szCs w:val="24"/>
        </w:rPr>
        <w:t>Лянторский</w:t>
      </w:r>
      <w:proofErr w:type="spellEnd"/>
      <w:r w:rsidRPr="00FA0B2A">
        <w:rPr>
          <w:color w:val="000000"/>
          <w:sz w:val="24"/>
          <w:szCs w:val="24"/>
        </w:rPr>
        <w:t xml:space="preserve"> хантыйский этнографический музей»</w:t>
      </w:r>
      <w:r w:rsidR="00982BA0" w:rsidRPr="00FA0B2A">
        <w:rPr>
          <w:rStyle w:val="af9"/>
          <w:color w:val="000000"/>
          <w:sz w:val="24"/>
          <w:szCs w:val="24"/>
        </w:rPr>
        <w:t xml:space="preserve"> (в сравнении с долей посещений предыдущего года)</w:t>
      </w:r>
      <w:r w:rsidRPr="00FA0B2A">
        <w:rPr>
          <w:rStyle w:val="af9"/>
          <w:color w:val="000000"/>
          <w:sz w:val="24"/>
          <w:szCs w:val="24"/>
        </w:rPr>
        <w:t>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000000"/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(процент)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1134"/>
        <w:gridCol w:w="1276"/>
        <w:gridCol w:w="2693"/>
      </w:tblGrid>
      <w:tr w:rsidR="00D863EC" w:rsidRPr="00FA0B2A" w:rsidTr="00C72FB2">
        <w:tc>
          <w:tcPr>
            <w:tcW w:w="959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D863EC" w:rsidRPr="00FA0B2A" w:rsidTr="00C72FB2">
        <w:tc>
          <w:tcPr>
            <w:tcW w:w="959" w:type="dxa"/>
            <w:vAlign w:val="center"/>
          </w:tcPr>
          <w:p w:rsidR="00D863EC" w:rsidRPr="00FA0B2A" w:rsidRDefault="00E173C6" w:rsidP="00E173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  <w:vAlign w:val="center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vAlign w:val="center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93" w:type="dxa"/>
            <w:vAlign w:val="center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000000"/>
          <w:sz w:val="24"/>
          <w:szCs w:val="24"/>
        </w:rPr>
      </w:pP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3.1.4. Увеличение численности участников культурно-досуговых мероприятий (</w:t>
      </w:r>
      <w:r w:rsidR="00D863EC" w:rsidRPr="00FA0B2A">
        <w:rPr>
          <w:sz w:val="24"/>
          <w:szCs w:val="24"/>
        </w:rPr>
        <w:t>по сравнению с предыдущим годом</w:t>
      </w:r>
      <w:r w:rsidRPr="00FA0B2A">
        <w:rPr>
          <w:rStyle w:val="af9"/>
          <w:color w:val="000000"/>
          <w:sz w:val="24"/>
          <w:szCs w:val="24"/>
        </w:rPr>
        <w:t>):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000000"/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 xml:space="preserve"> (процент)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1134"/>
        <w:gridCol w:w="1276"/>
        <w:gridCol w:w="2693"/>
      </w:tblGrid>
      <w:tr w:rsidR="00D863EC" w:rsidRPr="00FA0B2A" w:rsidTr="00C72FB2">
        <w:tc>
          <w:tcPr>
            <w:tcW w:w="959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D863EC" w:rsidRPr="00FA0B2A" w:rsidTr="00C72FB2">
        <w:tc>
          <w:tcPr>
            <w:tcW w:w="959" w:type="dxa"/>
          </w:tcPr>
          <w:p w:rsidR="00D863EC" w:rsidRPr="00FA0B2A" w:rsidRDefault="0005302E" w:rsidP="00E173C6">
            <w:pPr>
              <w:pStyle w:val="12"/>
              <w:shd w:val="clear" w:color="auto" w:fill="auto"/>
              <w:spacing w:line="240" w:lineRule="auto"/>
              <w:jc w:val="center"/>
              <w:rPr>
                <w:rStyle w:val="af9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af9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D863EC" w:rsidRPr="00FA0B2A" w:rsidRDefault="0005302E" w:rsidP="0005302E">
            <w:pPr>
              <w:pStyle w:val="12"/>
              <w:shd w:val="clear" w:color="auto" w:fill="auto"/>
              <w:spacing w:line="240" w:lineRule="auto"/>
              <w:jc w:val="center"/>
              <w:rPr>
                <w:rStyle w:val="af9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af9"/>
                <w:color w:val="000000"/>
                <w:sz w:val="24"/>
                <w:szCs w:val="24"/>
                <w:lang w:val="ru-RU" w:eastAsia="ru-RU"/>
              </w:rPr>
              <w:t>6,6</w:t>
            </w:r>
          </w:p>
        </w:tc>
        <w:tc>
          <w:tcPr>
            <w:tcW w:w="1134" w:type="dxa"/>
          </w:tcPr>
          <w:p w:rsidR="00D863EC" w:rsidRPr="00FA0B2A" w:rsidRDefault="00D863EC" w:rsidP="004E1D38">
            <w:pPr>
              <w:pStyle w:val="12"/>
              <w:shd w:val="clear" w:color="auto" w:fill="auto"/>
              <w:spacing w:line="240" w:lineRule="auto"/>
              <w:jc w:val="center"/>
              <w:rPr>
                <w:rStyle w:val="af9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Style w:val="af9"/>
                <w:color w:val="00000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992" w:type="dxa"/>
          </w:tcPr>
          <w:p w:rsidR="00D863EC" w:rsidRPr="00FA0B2A" w:rsidRDefault="00D863EC" w:rsidP="004E1D38">
            <w:pPr>
              <w:pStyle w:val="12"/>
              <w:shd w:val="clear" w:color="auto" w:fill="auto"/>
              <w:spacing w:line="240" w:lineRule="auto"/>
              <w:jc w:val="center"/>
              <w:rPr>
                <w:rStyle w:val="af9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Style w:val="af9"/>
                <w:color w:val="00000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1134" w:type="dxa"/>
          </w:tcPr>
          <w:p w:rsidR="00D863EC" w:rsidRPr="00FA0B2A" w:rsidRDefault="00D863EC" w:rsidP="004E1D38">
            <w:pPr>
              <w:pStyle w:val="12"/>
              <w:shd w:val="clear" w:color="auto" w:fill="auto"/>
              <w:spacing w:line="240" w:lineRule="auto"/>
              <w:jc w:val="center"/>
              <w:rPr>
                <w:rStyle w:val="af9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Style w:val="af9"/>
                <w:color w:val="000000"/>
                <w:sz w:val="24"/>
                <w:szCs w:val="24"/>
                <w:lang w:val="ru-RU" w:eastAsia="ru-RU"/>
              </w:rPr>
              <w:t>7,0</w:t>
            </w:r>
          </w:p>
        </w:tc>
        <w:tc>
          <w:tcPr>
            <w:tcW w:w="1134" w:type="dxa"/>
          </w:tcPr>
          <w:p w:rsidR="00D863EC" w:rsidRPr="00FA0B2A" w:rsidRDefault="00D863EC" w:rsidP="004E1D38">
            <w:pPr>
              <w:pStyle w:val="12"/>
              <w:shd w:val="clear" w:color="auto" w:fill="auto"/>
              <w:spacing w:line="240" w:lineRule="auto"/>
              <w:jc w:val="center"/>
              <w:rPr>
                <w:rStyle w:val="af9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Style w:val="af9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1276" w:type="dxa"/>
          </w:tcPr>
          <w:p w:rsidR="00D863EC" w:rsidRPr="00FA0B2A" w:rsidRDefault="00D863EC" w:rsidP="004E1D38">
            <w:pPr>
              <w:pStyle w:val="12"/>
              <w:shd w:val="clear" w:color="auto" w:fill="auto"/>
              <w:spacing w:line="240" w:lineRule="auto"/>
              <w:jc w:val="center"/>
              <w:rPr>
                <w:rStyle w:val="af9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Style w:val="af9"/>
                <w:color w:val="000000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2693" w:type="dxa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000000"/>
          <w:sz w:val="24"/>
          <w:szCs w:val="24"/>
        </w:rPr>
      </w:pPr>
    </w:p>
    <w:p w:rsidR="00CE3E6E" w:rsidRPr="00FA0B2A" w:rsidRDefault="00CE3E6E" w:rsidP="004E1D38"/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both"/>
        <w:rPr>
          <w:rStyle w:val="33"/>
          <w:color w:val="000000"/>
          <w:sz w:val="24"/>
          <w:szCs w:val="24"/>
        </w:rPr>
      </w:pPr>
      <w:r w:rsidRPr="00FA0B2A">
        <w:rPr>
          <w:rStyle w:val="33"/>
          <w:color w:val="000000"/>
          <w:sz w:val="24"/>
          <w:szCs w:val="24"/>
        </w:rPr>
        <w:t>3.1.5. Повышение уровня удовлетворённости граждан качеством услуг, предоставляемых Учреждениями: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000000"/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(процент)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1134"/>
        <w:gridCol w:w="1276"/>
        <w:gridCol w:w="2693"/>
      </w:tblGrid>
      <w:tr w:rsidR="00D863EC" w:rsidRPr="00FA0B2A" w:rsidTr="00C72FB2">
        <w:tc>
          <w:tcPr>
            <w:tcW w:w="959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D863EC" w:rsidRPr="00FA0B2A" w:rsidTr="00C72FB2">
        <w:tc>
          <w:tcPr>
            <w:tcW w:w="959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59,4</w:t>
            </w:r>
          </w:p>
        </w:tc>
        <w:tc>
          <w:tcPr>
            <w:tcW w:w="1134" w:type="dxa"/>
            <w:vAlign w:val="center"/>
          </w:tcPr>
          <w:p w:rsidR="00D863EC" w:rsidRPr="00FA0B2A" w:rsidRDefault="00D863E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59,4</w:t>
            </w:r>
          </w:p>
        </w:tc>
        <w:tc>
          <w:tcPr>
            <w:tcW w:w="1134" w:type="dxa"/>
            <w:vAlign w:val="center"/>
          </w:tcPr>
          <w:p w:rsidR="00D863E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992" w:type="dxa"/>
            <w:vAlign w:val="center"/>
          </w:tcPr>
          <w:p w:rsidR="00D863E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D863E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D863E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276" w:type="dxa"/>
            <w:vAlign w:val="center"/>
          </w:tcPr>
          <w:p w:rsidR="00D863E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693" w:type="dxa"/>
          </w:tcPr>
          <w:p w:rsidR="00D863EC" w:rsidRPr="00FA0B2A" w:rsidRDefault="00D863E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000000"/>
          <w:sz w:val="24"/>
          <w:szCs w:val="24"/>
        </w:rPr>
      </w:pPr>
    </w:p>
    <w:p w:rsidR="00CE3E6E" w:rsidRPr="00FA0B2A" w:rsidRDefault="00CE3E6E" w:rsidP="004E1D38">
      <w:pPr>
        <w:pStyle w:val="a9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FA0B2A">
        <w:rPr>
          <w:rFonts w:ascii="Times New Roman" w:hAnsi="Times New Roman"/>
          <w:color w:val="000000"/>
          <w:sz w:val="24"/>
          <w:szCs w:val="24"/>
        </w:rPr>
        <w:t xml:space="preserve">3.1.6. </w:t>
      </w:r>
      <w:r w:rsidR="00C47F3D">
        <w:rPr>
          <w:rStyle w:val="af9"/>
          <w:rFonts w:ascii="Times New Roman" w:hAnsi="Times New Roman"/>
          <w:color w:val="000000"/>
          <w:sz w:val="24"/>
          <w:szCs w:val="24"/>
          <w:lang w:val="ru-RU"/>
        </w:rPr>
        <w:t>Сохранение</w:t>
      </w:r>
      <w:r w:rsidR="0085679C" w:rsidRPr="00FA0B2A">
        <w:rPr>
          <w:rStyle w:val="af9"/>
          <w:rFonts w:ascii="Times New Roman" w:hAnsi="Times New Roman"/>
          <w:color w:val="000000"/>
          <w:sz w:val="24"/>
          <w:szCs w:val="24"/>
        </w:rPr>
        <w:t xml:space="preserve"> д</w:t>
      </w:r>
      <w:r w:rsidR="0085679C" w:rsidRPr="00FA0B2A">
        <w:rPr>
          <w:rFonts w:ascii="Times New Roman" w:hAnsi="Times New Roman"/>
          <w:color w:val="000000"/>
          <w:sz w:val="24"/>
          <w:szCs w:val="24"/>
        </w:rPr>
        <w:t>оли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публичных библиотек, имеющих доступ к сети Интернет, в общем количестве </w:t>
      </w:r>
      <w:r w:rsidR="0085679C" w:rsidRPr="00FA0B2A">
        <w:rPr>
          <w:rFonts w:ascii="Times New Roman" w:hAnsi="Times New Roman"/>
          <w:color w:val="000000"/>
          <w:sz w:val="24"/>
          <w:szCs w:val="24"/>
        </w:rPr>
        <w:t xml:space="preserve">публичных </w:t>
      </w:r>
      <w:r w:rsidRPr="00FA0B2A">
        <w:rPr>
          <w:rFonts w:ascii="Times New Roman" w:hAnsi="Times New Roman"/>
          <w:color w:val="000000"/>
          <w:sz w:val="24"/>
          <w:szCs w:val="24"/>
        </w:rPr>
        <w:t>библиотек города Лянтора: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000000"/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(процент)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1134"/>
        <w:gridCol w:w="1276"/>
        <w:gridCol w:w="2693"/>
      </w:tblGrid>
      <w:tr w:rsidR="0085679C" w:rsidRPr="00FA0B2A" w:rsidTr="00C72FB2">
        <w:tc>
          <w:tcPr>
            <w:tcW w:w="959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85679C" w:rsidRPr="00FA0B2A" w:rsidTr="00C72FB2">
        <w:tc>
          <w:tcPr>
            <w:tcW w:w="959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3" w:type="dxa"/>
            <w:vAlign w:val="center"/>
          </w:tcPr>
          <w:p w:rsidR="0085679C" w:rsidRPr="00FA0B2A" w:rsidRDefault="0085679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color w:val="FF0000"/>
          <w:sz w:val="24"/>
          <w:szCs w:val="24"/>
        </w:rPr>
      </w:pPr>
    </w:p>
    <w:p w:rsidR="00CE3E6E" w:rsidRPr="00FA0B2A" w:rsidRDefault="0085679C" w:rsidP="004E1D38">
      <w:pPr>
        <w:pStyle w:val="12"/>
        <w:numPr>
          <w:ilvl w:val="2"/>
          <w:numId w:val="4"/>
        </w:numPr>
        <w:shd w:val="clear" w:color="auto" w:fill="auto"/>
        <w:spacing w:line="240" w:lineRule="auto"/>
        <w:ind w:left="0" w:firstLine="424"/>
        <w:jc w:val="both"/>
        <w:rPr>
          <w:rStyle w:val="33"/>
          <w:sz w:val="24"/>
          <w:szCs w:val="24"/>
        </w:rPr>
      </w:pPr>
      <w:r w:rsidRPr="00FA0B2A">
        <w:rPr>
          <w:rStyle w:val="33"/>
          <w:sz w:val="24"/>
          <w:szCs w:val="24"/>
        </w:rPr>
        <w:t xml:space="preserve"> </w:t>
      </w:r>
      <w:r w:rsidR="00CE3E6E" w:rsidRPr="00FA0B2A">
        <w:rPr>
          <w:rStyle w:val="33"/>
          <w:sz w:val="24"/>
          <w:szCs w:val="24"/>
        </w:rPr>
        <w:t>Увеличение доли доходов от</w:t>
      </w:r>
      <w:r w:rsidRPr="00FA0B2A">
        <w:rPr>
          <w:sz w:val="24"/>
          <w:szCs w:val="24"/>
        </w:rPr>
        <w:t xml:space="preserve"> платных услуг, оказываемых </w:t>
      </w:r>
      <w:r w:rsidRPr="00FA0B2A">
        <w:rPr>
          <w:rStyle w:val="33"/>
          <w:sz w:val="24"/>
          <w:szCs w:val="24"/>
        </w:rPr>
        <w:t>Учреждениями</w:t>
      </w:r>
      <w:r w:rsidR="00C47F3D">
        <w:rPr>
          <w:rStyle w:val="33"/>
          <w:sz w:val="24"/>
          <w:szCs w:val="24"/>
          <w:lang w:val="ru-RU"/>
        </w:rPr>
        <w:t xml:space="preserve"> от общего объёма выделенных бюджетных ассигнований</w:t>
      </w:r>
      <w:r w:rsidRPr="00FA0B2A">
        <w:rPr>
          <w:rStyle w:val="33"/>
          <w:sz w:val="24"/>
          <w:szCs w:val="24"/>
        </w:rPr>
        <w:t>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sz w:val="24"/>
          <w:szCs w:val="24"/>
        </w:rPr>
      </w:pPr>
      <w:r w:rsidRPr="00FA0B2A">
        <w:rPr>
          <w:rStyle w:val="af9"/>
          <w:sz w:val="24"/>
          <w:szCs w:val="24"/>
        </w:rPr>
        <w:t>(процент)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1134"/>
        <w:gridCol w:w="1276"/>
        <w:gridCol w:w="2693"/>
      </w:tblGrid>
      <w:tr w:rsidR="0085679C" w:rsidRPr="00FA0B2A" w:rsidTr="00C72FB2">
        <w:tc>
          <w:tcPr>
            <w:tcW w:w="959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85679C" w:rsidRPr="00FA0B2A" w:rsidTr="00C72FB2">
        <w:tc>
          <w:tcPr>
            <w:tcW w:w="959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134" w:type="dxa"/>
            <w:vAlign w:val="center"/>
          </w:tcPr>
          <w:p w:rsidR="0085679C" w:rsidRPr="00FA0B2A" w:rsidRDefault="0085679C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1134" w:type="dxa"/>
            <w:vAlign w:val="center"/>
          </w:tcPr>
          <w:p w:rsidR="0085679C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992" w:type="dxa"/>
            <w:vAlign w:val="center"/>
          </w:tcPr>
          <w:p w:rsidR="0085679C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5679C" w:rsidRPr="00FA0B2A" w:rsidRDefault="00E173C6" w:rsidP="00E173C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134" w:type="dxa"/>
            <w:vAlign w:val="center"/>
          </w:tcPr>
          <w:p w:rsidR="0085679C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276" w:type="dxa"/>
            <w:vAlign w:val="center"/>
          </w:tcPr>
          <w:p w:rsidR="0085679C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85679C" w:rsidRPr="00FA0B2A" w:rsidRDefault="0085679C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Default="00CE3E6E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sz w:val="24"/>
          <w:szCs w:val="24"/>
          <w:lang w:val="ru-RU"/>
        </w:rPr>
      </w:pPr>
    </w:p>
    <w:p w:rsidR="00670D6C" w:rsidRPr="00670D6C" w:rsidRDefault="00670D6C" w:rsidP="004E1D38">
      <w:pPr>
        <w:pStyle w:val="12"/>
        <w:shd w:val="clear" w:color="auto" w:fill="auto"/>
        <w:spacing w:line="240" w:lineRule="auto"/>
        <w:ind w:firstLine="567"/>
        <w:jc w:val="right"/>
        <w:rPr>
          <w:rStyle w:val="af9"/>
          <w:sz w:val="24"/>
          <w:szCs w:val="24"/>
          <w:lang w:val="ru-RU"/>
        </w:rPr>
      </w:pPr>
    </w:p>
    <w:p w:rsidR="00E173C6" w:rsidRPr="00FA0B2A" w:rsidRDefault="00CE3E6E" w:rsidP="004E1D38">
      <w:pPr>
        <w:pStyle w:val="12"/>
        <w:numPr>
          <w:ilvl w:val="2"/>
          <w:numId w:val="4"/>
        </w:numPr>
        <w:shd w:val="clear" w:color="auto" w:fill="auto"/>
        <w:spacing w:line="240" w:lineRule="auto"/>
        <w:ind w:left="0" w:firstLine="566"/>
        <w:jc w:val="both"/>
        <w:rPr>
          <w:rStyle w:val="33"/>
          <w:sz w:val="24"/>
          <w:szCs w:val="24"/>
          <w:shd w:val="clear" w:color="auto" w:fill="auto"/>
        </w:rPr>
      </w:pPr>
      <w:r w:rsidRPr="00FA0B2A">
        <w:rPr>
          <w:rStyle w:val="33"/>
          <w:sz w:val="24"/>
          <w:szCs w:val="24"/>
        </w:rPr>
        <w:t xml:space="preserve">Увеличение количества </w:t>
      </w:r>
      <w:r w:rsidR="0085679C" w:rsidRPr="00FA0B2A">
        <w:rPr>
          <w:rStyle w:val="33"/>
          <w:sz w:val="24"/>
          <w:szCs w:val="24"/>
        </w:rPr>
        <w:t>пе</w:t>
      </w:r>
      <w:r w:rsidRPr="00FA0B2A">
        <w:rPr>
          <w:rStyle w:val="33"/>
          <w:sz w:val="24"/>
          <w:szCs w:val="24"/>
        </w:rPr>
        <w:t xml:space="preserve">редвижных выставок фондов </w:t>
      </w:r>
      <w:r w:rsidRPr="00FA0B2A">
        <w:rPr>
          <w:sz w:val="24"/>
          <w:szCs w:val="24"/>
        </w:rPr>
        <w:t>МУК «</w:t>
      </w:r>
      <w:proofErr w:type="spellStart"/>
      <w:r w:rsidRPr="00FA0B2A">
        <w:rPr>
          <w:sz w:val="24"/>
          <w:szCs w:val="24"/>
        </w:rPr>
        <w:t>Лянторский</w:t>
      </w:r>
      <w:proofErr w:type="spellEnd"/>
      <w:r w:rsidRPr="00FA0B2A">
        <w:rPr>
          <w:sz w:val="24"/>
          <w:szCs w:val="24"/>
        </w:rPr>
        <w:t xml:space="preserve"> хантыйский этнографический музей» </w:t>
      </w:r>
      <w:r w:rsidRPr="00FA0B2A">
        <w:rPr>
          <w:rStyle w:val="33"/>
          <w:sz w:val="24"/>
          <w:szCs w:val="24"/>
        </w:rPr>
        <w:t>для экспонирования произведений искусства</w:t>
      </w:r>
      <w:r w:rsidR="00E173C6" w:rsidRPr="00FA0B2A">
        <w:rPr>
          <w:rStyle w:val="33"/>
          <w:sz w:val="24"/>
          <w:szCs w:val="24"/>
        </w:rPr>
        <w:t xml:space="preserve">. </w:t>
      </w:r>
    </w:p>
    <w:p w:rsidR="00CE3E6E" w:rsidRPr="00FA0B2A" w:rsidRDefault="00CE3E6E" w:rsidP="00E173C6">
      <w:pPr>
        <w:pStyle w:val="12"/>
        <w:shd w:val="clear" w:color="auto" w:fill="auto"/>
        <w:spacing w:line="240" w:lineRule="auto"/>
        <w:ind w:left="566"/>
        <w:jc w:val="both"/>
        <w:rPr>
          <w:sz w:val="24"/>
          <w:szCs w:val="24"/>
        </w:rPr>
      </w:pPr>
      <w:r w:rsidRPr="00FA0B2A">
        <w:rPr>
          <w:rStyle w:val="33"/>
          <w:sz w:val="24"/>
          <w:szCs w:val="24"/>
        </w:rPr>
        <w:t xml:space="preserve"> в музее, организациях, предприятиях, учреждениях города: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jc w:val="right"/>
        <w:rPr>
          <w:rStyle w:val="af9"/>
          <w:color w:val="000000"/>
          <w:sz w:val="24"/>
          <w:szCs w:val="24"/>
        </w:rPr>
      </w:pPr>
    </w:p>
    <w:p w:rsidR="00CE3E6E" w:rsidRPr="00FA0B2A" w:rsidRDefault="00CE3E6E" w:rsidP="004E1D38">
      <w:pPr>
        <w:pStyle w:val="12"/>
        <w:shd w:val="clear" w:color="auto" w:fill="auto"/>
        <w:spacing w:line="240" w:lineRule="auto"/>
        <w:jc w:val="right"/>
        <w:rPr>
          <w:rStyle w:val="af9"/>
          <w:color w:val="000000"/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(единиц выставок)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2"/>
        <w:gridCol w:w="1134"/>
        <w:gridCol w:w="1134"/>
        <w:gridCol w:w="1276"/>
        <w:gridCol w:w="2693"/>
      </w:tblGrid>
      <w:tr w:rsidR="001F4787" w:rsidRPr="00FA0B2A" w:rsidTr="00C72FB2">
        <w:tc>
          <w:tcPr>
            <w:tcW w:w="993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1F4787" w:rsidRPr="00FA0B2A" w:rsidTr="00C72FB2">
        <w:tc>
          <w:tcPr>
            <w:tcW w:w="993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E173C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E173C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1F4787" w:rsidRPr="00FA0B2A" w:rsidRDefault="001F4787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12"/>
        <w:shd w:val="clear" w:color="auto" w:fill="auto"/>
        <w:spacing w:line="240" w:lineRule="auto"/>
        <w:jc w:val="right"/>
        <w:rPr>
          <w:rStyle w:val="af9"/>
          <w:color w:val="000000"/>
          <w:sz w:val="24"/>
          <w:szCs w:val="24"/>
        </w:rPr>
      </w:pPr>
    </w:p>
    <w:p w:rsidR="00CE3E6E" w:rsidRPr="00FA0B2A" w:rsidRDefault="00CE3E6E" w:rsidP="004E1D38">
      <w:pPr>
        <w:pStyle w:val="12"/>
        <w:numPr>
          <w:ilvl w:val="2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4"/>
        </w:rPr>
      </w:pPr>
      <w:r w:rsidRPr="00FA0B2A">
        <w:rPr>
          <w:rStyle w:val="33"/>
          <w:color w:val="000000"/>
          <w:sz w:val="24"/>
          <w:szCs w:val="24"/>
        </w:rPr>
        <w:t>Увеличение доли оцифрованных музейных предметов и музейных коллекций, представленных в сети Интернет, от общего объема музейного фонда</w:t>
      </w:r>
      <w:r w:rsidRPr="00FA0B2A">
        <w:rPr>
          <w:color w:val="000000"/>
          <w:sz w:val="24"/>
          <w:szCs w:val="24"/>
        </w:rPr>
        <w:t xml:space="preserve"> МУК «</w:t>
      </w:r>
      <w:proofErr w:type="spellStart"/>
      <w:r w:rsidRPr="00FA0B2A">
        <w:rPr>
          <w:color w:val="000000"/>
          <w:sz w:val="24"/>
          <w:szCs w:val="24"/>
        </w:rPr>
        <w:t>Лянторский</w:t>
      </w:r>
      <w:proofErr w:type="spellEnd"/>
      <w:r w:rsidRPr="00FA0B2A">
        <w:rPr>
          <w:color w:val="000000"/>
          <w:sz w:val="24"/>
          <w:szCs w:val="24"/>
        </w:rPr>
        <w:t xml:space="preserve"> хантыйский этнографический музей»</w:t>
      </w:r>
      <w:r w:rsidRPr="00FA0B2A">
        <w:rPr>
          <w:rStyle w:val="33"/>
          <w:color w:val="000000"/>
          <w:sz w:val="24"/>
          <w:szCs w:val="24"/>
        </w:rPr>
        <w:t>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jc w:val="right"/>
        <w:rPr>
          <w:rStyle w:val="af9"/>
          <w:color w:val="000000"/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(процент)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2"/>
        <w:gridCol w:w="1134"/>
        <w:gridCol w:w="1134"/>
        <w:gridCol w:w="1276"/>
        <w:gridCol w:w="2693"/>
      </w:tblGrid>
      <w:tr w:rsidR="001F4787" w:rsidRPr="00FA0B2A" w:rsidTr="00C72FB2">
        <w:tc>
          <w:tcPr>
            <w:tcW w:w="993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1F4787" w:rsidRPr="00FA0B2A" w:rsidTr="00C72FB2">
        <w:tc>
          <w:tcPr>
            <w:tcW w:w="993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4787" w:rsidRPr="00FA0B2A" w:rsidRDefault="00C47F3D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F4787" w:rsidRPr="00FA0B2A" w:rsidRDefault="00C47F3D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1F4787" w:rsidRPr="00FA0B2A" w:rsidRDefault="001F4787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12"/>
        <w:shd w:val="clear" w:color="auto" w:fill="auto"/>
        <w:spacing w:line="240" w:lineRule="auto"/>
        <w:jc w:val="right"/>
        <w:rPr>
          <w:rStyle w:val="af9"/>
          <w:color w:val="000000"/>
          <w:sz w:val="24"/>
          <w:szCs w:val="24"/>
        </w:rPr>
      </w:pP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A0B2A">
        <w:rPr>
          <w:rStyle w:val="33"/>
          <w:color w:val="000000"/>
          <w:sz w:val="24"/>
          <w:szCs w:val="24"/>
        </w:rPr>
        <w:t xml:space="preserve">3.1.11. Увеличение количества выставочных проектов </w:t>
      </w:r>
      <w:r w:rsidRPr="00FA0B2A">
        <w:rPr>
          <w:color w:val="000000"/>
          <w:sz w:val="24"/>
          <w:szCs w:val="24"/>
        </w:rPr>
        <w:t>МУК «</w:t>
      </w:r>
      <w:proofErr w:type="spellStart"/>
      <w:r w:rsidRPr="00FA0B2A">
        <w:rPr>
          <w:color w:val="000000"/>
          <w:sz w:val="24"/>
          <w:szCs w:val="24"/>
        </w:rPr>
        <w:t>Лянторский</w:t>
      </w:r>
      <w:proofErr w:type="spellEnd"/>
      <w:r w:rsidRPr="00FA0B2A">
        <w:rPr>
          <w:color w:val="000000"/>
          <w:sz w:val="24"/>
          <w:szCs w:val="24"/>
        </w:rPr>
        <w:t xml:space="preserve"> хантыйский этнографический музей», осуществляемых в городе Лянторе, из частных собраний, региональных музеев Российской Федерации</w:t>
      </w:r>
      <w:r w:rsidRPr="00FA0B2A">
        <w:rPr>
          <w:rStyle w:val="33"/>
          <w:color w:val="000000"/>
          <w:sz w:val="24"/>
          <w:szCs w:val="24"/>
        </w:rPr>
        <w:t>:</w:t>
      </w:r>
    </w:p>
    <w:p w:rsidR="00CE3E6E" w:rsidRPr="00FA0B2A" w:rsidRDefault="00CE3E6E" w:rsidP="004E1D38">
      <w:pPr>
        <w:pStyle w:val="12"/>
        <w:shd w:val="clear" w:color="auto" w:fill="auto"/>
        <w:spacing w:line="240" w:lineRule="auto"/>
        <w:jc w:val="right"/>
        <w:rPr>
          <w:rStyle w:val="af9"/>
          <w:color w:val="000000"/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(процент)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2"/>
        <w:gridCol w:w="1134"/>
        <w:gridCol w:w="1134"/>
        <w:gridCol w:w="1276"/>
        <w:gridCol w:w="2693"/>
      </w:tblGrid>
      <w:tr w:rsidR="001F4787" w:rsidRPr="00FA0B2A" w:rsidTr="00C72FB2">
        <w:tc>
          <w:tcPr>
            <w:tcW w:w="993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1F4787" w:rsidRPr="00FA0B2A" w:rsidTr="00C72FB2">
        <w:tc>
          <w:tcPr>
            <w:tcW w:w="993" w:type="dxa"/>
            <w:vAlign w:val="center"/>
          </w:tcPr>
          <w:p w:rsidR="001F4787" w:rsidRPr="00FA0B2A" w:rsidRDefault="00C47F3D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4787" w:rsidRPr="00FA0B2A" w:rsidRDefault="001F4787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E173C6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4787" w:rsidRPr="00FA0B2A" w:rsidRDefault="00E173C6" w:rsidP="00C47F3D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C47F3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F4787" w:rsidRPr="00FA0B2A" w:rsidRDefault="00E173C6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1F4787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1F4787" w:rsidRPr="00FA0B2A" w:rsidRDefault="001F4787" w:rsidP="004E1D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2A">
              <w:rPr>
                <w:rFonts w:ascii="Times New Roman" w:hAnsi="Times New Roman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CE3E6E" w:rsidRPr="00FA0B2A" w:rsidRDefault="00CE3E6E" w:rsidP="004E1D38">
      <w:pPr>
        <w:pStyle w:val="12"/>
        <w:shd w:val="clear" w:color="auto" w:fill="auto"/>
        <w:spacing w:line="240" w:lineRule="auto"/>
        <w:jc w:val="right"/>
        <w:rPr>
          <w:rStyle w:val="af9"/>
          <w:color w:val="000000"/>
          <w:sz w:val="24"/>
          <w:szCs w:val="24"/>
        </w:rPr>
      </w:pPr>
    </w:p>
    <w:p w:rsidR="001F4787" w:rsidRPr="00FA0B2A" w:rsidRDefault="001F4787" w:rsidP="004E1D38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A0B2A">
        <w:rPr>
          <w:color w:val="000000"/>
        </w:rPr>
        <w:t xml:space="preserve">Основные показатели нормативов реализации </w:t>
      </w:r>
      <w:r w:rsidRPr="00FA0B2A">
        <w:t>плана мероприятий («дорожной карты») «Изменения в отраслях социальной сферы, направленные на повышение эффективности сферы культуры в городе Лянторе» приведены в приложении к плану мероприятий («дорожной карте») «</w:t>
      </w:r>
      <w:r w:rsidRPr="00FA0B2A">
        <w:rPr>
          <w:bCs/>
        </w:rPr>
        <w:t xml:space="preserve">Изменения в отраслях социальной сферы, направленные на повышение эффективности сферы культуры в </w:t>
      </w:r>
      <w:r w:rsidRPr="00FA0B2A">
        <w:t>городе Лянторе».</w:t>
      </w:r>
    </w:p>
    <w:p w:rsidR="001F4787" w:rsidRPr="00FA0B2A" w:rsidRDefault="001F4787" w:rsidP="004E1D38">
      <w:pPr>
        <w:pStyle w:val="12"/>
        <w:shd w:val="clear" w:color="auto" w:fill="auto"/>
        <w:spacing w:line="240" w:lineRule="auto"/>
        <w:ind w:firstLine="567"/>
        <w:jc w:val="both"/>
        <w:rPr>
          <w:rStyle w:val="af9"/>
          <w:color w:val="000000"/>
          <w:sz w:val="24"/>
          <w:szCs w:val="24"/>
        </w:rPr>
      </w:pPr>
    </w:p>
    <w:p w:rsidR="00CE3E6E" w:rsidRPr="00FA0B2A" w:rsidRDefault="00CE3E6E" w:rsidP="004E1D38">
      <w:pPr>
        <w:pStyle w:val="1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A0B2A">
        <w:rPr>
          <w:rStyle w:val="af9"/>
          <w:color w:val="000000"/>
          <w:sz w:val="24"/>
          <w:szCs w:val="24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CE3E6E" w:rsidRPr="00FA0B2A" w:rsidRDefault="00CE3E6E" w:rsidP="004E1D38">
      <w:pPr>
        <w:pStyle w:val="a9"/>
        <w:widowControl w:val="0"/>
        <w:tabs>
          <w:tab w:val="left" w:pos="186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t>3.2.1.Создание механизма стимулирования работников Учреждений,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CE3E6E" w:rsidRPr="00FA0B2A" w:rsidRDefault="00CE3E6E" w:rsidP="004E1D38">
      <w:pPr>
        <w:pStyle w:val="a9"/>
        <w:widowControl w:val="0"/>
        <w:tabs>
          <w:tab w:val="left" w:pos="171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t xml:space="preserve">3.2.2.Поэтапный рост оплаты труда работников Учреждений, достижение целевых показателей по доведению её уровня (средней заработной платы) до средней заработной платы в регионах Российской Федерации в соответствии с Указом Президента Российской Федерации от 07.05.2012 № 597 «О мероприятиях по реализации государственной социальной политики» (далее </w:t>
      </w:r>
      <w:r w:rsidR="00C47F3D">
        <w:rPr>
          <w:rStyle w:val="11"/>
          <w:rFonts w:ascii="Times New Roman" w:hAnsi="Times New Roman"/>
          <w:color w:val="000000"/>
          <w:sz w:val="24"/>
          <w:szCs w:val="24"/>
        </w:rPr>
        <w:t>–</w:t>
      </w: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t xml:space="preserve"> Указ).</w:t>
      </w:r>
    </w:p>
    <w:p w:rsidR="00CE3E6E" w:rsidRPr="00FA0B2A" w:rsidRDefault="00CE3E6E" w:rsidP="004E1D38">
      <w:pPr>
        <w:pStyle w:val="a9"/>
        <w:widowControl w:val="0"/>
        <w:tabs>
          <w:tab w:val="left" w:pos="19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t>3.2.3.Обновление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CE3E6E" w:rsidRPr="00FA0B2A" w:rsidRDefault="00CE3E6E" w:rsidP="004E1D38">
      <w:pPr>
        <w:pStyle w:val="a9"/>
        <w:widowControl w:val="0"/>
        <w:tabs>
          <w:tab w:val="left" w:pos="20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t>3.2.4.Реорганизация неэффективных Учреждений, структурные преобразования в отрасли.</w:t>
      </w:r>
    </w:p>
    <w:p w:rsidR="00CE7700" w:rsidRPr="00FA0B2A" w:rsidRDefault="00CE7700" w:rsidP="004E1D38">
      <w:pPr>
        <w:pStyle w:val="a9"/>
        <w:spacing w:after="0" w:line="240" w:lineRule="auto"/>
        <w:jc w:val="center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CE3E6E" w:rsidRPr="00FA0B2A" w:rsidRDefault="00CE3E6E" w:rsidP="004E1D38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lastRenderedPageBreak/>
        <w:t>4. Мероприятия по совершенствованию оплаты труда работников Учреждений</w:t>
      </w:r>
    </w:p>
    <w:p w:rsidR="00EF5DC8" w:rsidRPr="00FA0B2A" w:rsidRDefault="00CE3E6E" w:rsidP="004E1D3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t xml:space="preserve">4.1. Разработка и проведение мероприятий по совершенствованию оплаты труда работников Учреждений должны осуществляться с учётом Программы поэтапного совершенствования системы оплаты труда в муниципальных учреждениях на 2012 </w:t>
      </w:r>
      <w:r w:rsidR="00C47F3D">
        <w:rPr>
          <w:rStyle w:val="11"/>
          <w:rFonts w:ascii="Times New Roman" w:hAnsi="Times New Roman"/>
          <w:color w:val="000000"/>
          <w:sz w:val="24"/>
          <w:szCs w:val="24"/>
        </w:rPr>
        <w:t>–</w:t>
      </w:r>
      <w:r w:rsidRPr="00FA0B2A">
        <w:rPr>
          <w:rStyle w:val="11"/>
          <w:rFonts w:ascii="Times New Roman" w:hAnsi="Times New Roman"/>
          <w:color w:val="000000"/>
          <w:sz w:val="24"/>
          <w:szCs w:val="24"/>
        </w:rPr>
        <w:t xml:space="preserve"> 2018 годы, утверждённой распоряжением Правительства Российской Федерации от 26.11.2012 № 2190-р, Единых рекомендаций по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трёхсторонней комиссии по регулированию социально-трудовых отношений.</w:t>
      </w:r>
      <w:r w:rsidR="00EF5DC8" w:rsidRPr="00FA0B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DC8" w:rsidRPr="00FA0B2A">
        <w:rPr>
          <w:rFonts w:ascii="Times New Roman" w:hAnsi="Times New Roman"/>
          <w:sz w:val="24"/>
          <w:szCs w:val="24"/>
        </w:rPr>
        <w:t>Учитывая специфику деятельности Учреждений,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объёмы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CE3E6E" w:rsidRPr="00FA0B2A" w:rsidRDefault="00CE3E6E" w:rsidP="004E1D3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2A">
        <w:rPr>
          <w:rFonts w:ascii="Times New Roman" w:hAnsi="Times New Roman"/>
          <w:color w:val="000000"/>
          <w:sz w:val="24"/>
          <w:szCs w:val="24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CE3E6E" w:rsidRPr="00FA0B2A" w:rsidRDefault="00CE3E6E" w:rsidP="004E1D3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0B2A">
        <w:rPr>
          <w:rFonts w:ascii="Times New Roman" w:hAnsi="Times New Roman"/>
          <w:color w:val="000000"/>
          <w:sz w:val="24"/>
          <w:szCs w:val="24"/>
        </w:rPr>
        <w:t xml:space="preserve">4.2.1. 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автономного округа </w:t>
      </w:r>
      <w:r w:rsidR="00C47F3D">
        <w:rPr>
          <w:rFonts w:ascii="Times New Roman" w:hAnsi="Times New Roman"/>
          <w:color w:val="000000"/>
          <w:sz w:val="24"/>
          <w:szCs w:val="24"/>
        </w:rPr>
        <w:t>–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Югры от 29.12.2012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</w:t>
      </w:r>
      <w:r w:rsidR="00C47F3D">
        <w:rPr>
          <w:rFonts w:ascii="Times New Roman" w:hAnsi="Times New Roman"/>
          <w:color w:val="000000"/>
          <w:sz w:val="24"/>
          <w:szCs w:val="24"/>
        </w:rPr>
        <w:t>–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Югре на период 2012 </w:t>
      </w:r>
      <w:r w:rsidR="00C47F3D">
        <w:rPr>
          <w:rFonts w:ascii="Times New Roman" w:hAnsi="Times New Roman"/>
          <w:color w:val="000000"/>
          <w:sz w:val="24"/>
          <w:szCs w:val="24"/>
        </w:rPr>
        <w:t>–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2018 годы» (далее </w:t>
      </w:r>
      <w:r w:rsidR="00C47F3D">
        <w:rPr>
          <w:rFonts w:ascii="Times New Roman" w:hAnsi="Times New Roman"/>
          <w:color w:val="000000"/>
          <w:sz w:val="24"/>
          <w:szCs w:val="24"/>
        </w:rPr>
        <w:t>–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Распоряжение), и средней заработной платы в Ханты-Мансийском автономном округе </w:t>
      </w:r>
      <w:r w:rsidR="00C47F3D">
        <w:rPr>
          <w:rFonts w:ascii="Times New Roman" w:hAnsi="Times New Roman"/>
          <w:color w:val="000000"/>
          <w:sz w:val="24"/>
          <w:szCs w:val="24"/>
        </w:rPr>
        <w:t>–</w:t>
      </w:r>
      <w:r w:rsidRPr="00FA0B2A">
        <w:rPr>
          <w:rFonts w:ascii="Times New Roman" w:hAnsi="Times New Roman"/>
          <w:color w:val="000000"/>
          <w:sz w:val="24"/>
          <w:szCs w:val="24"/>
        </w:rPr>
        <w:t xml:space="preserve"> Югре.</w:t>
      </w:r>
    </w:p>
    <w:p w:rsidR="00CE3E6E" w:rsidRPr="00FA0B2A" w:rsidRDefault="00CE3E6E" w:rsidP="004E1D38">
      <w:pPr>
        <w:pStyle w:val="a9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A0B2A">
        <w:rPr>
          <w:rFonts w:ascii="Times New Roman" w:hAnsi="Times New Roman"/>
          <w:color w:val="000000"/>
          <w:sz w:val="24"/>
          <w:szCs w:val="24"/>
        </w:rPr>
        <w:t>(процент</w:t>
      </w:r>
      <w:r w:rsidR="00844B19" w:rsidRPr="00FA0B2A">
        <w:rPr>
          <w:rFonts w:ascii="Times New Roman" w:hAnsi="Times New Roman"/>
          <w:color w:val="000000"/>
          <w:sz w:val="24"/>
          <w:szCs w:val="24"/>
        </w:rPr>
        <w:t>ов</w:t>
      </w:r>
      <w:r w:rsidRPr="00FA0B2A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1134"/>
        <w:gridCol w:w="992"/>
        <w:gridCol w:w="993"/>
        <w:gridCol w:w="1134"/>
      </w:tblGrid>
      <w:tr w:rsidR="00CE3E6E" w:rsidRPr="00FA0B2A" w:rsidTr="00C72FB2">
        <w:tc>
          <w:tcPr>
            <w:tcW w:w="2660" w:type="dxa"/>
          </w:tcPr>
          <w:p w:rsidR="00CE3E6E" w:rsidRPr="00FA0B2A" w:rsidRDefault="00CE3E6E" w:rsidP="004E1D3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Категория</w:t>
            </w:r>
          </w:p>
          <w:p w:rsidR="00CE3E6E" w:rsidRPr="00FA0B2A" w:rsidRDefault="00CE3E6E" w:rsidP="004E1D3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работников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992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992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93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CE3E6E" w:rsidRPr="00FA0B2A" w:rsidTr="00C72FB2">
        <w:tc>
          <w:tcPr>
            <w:tcW w:w="2660" w:type="dxa"/>
          </w:tcPr>
          <w:p w:rsidR="00CE3E6E" w:rsidRPr="00FA0B2A" w:rsidRDefault="00CE3E6E" w:rsidP="004E1D3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Работники</w:t>
            </w:r>
          </w:p>
          <w:p w:rsidR="00CE3E6E" w:rsidRPr="00FA0B2A" w:rsidRDefault="00CE3E6E" w:rsidP="004E1D3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Учреждений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46,4</w:t>
            </w:r>
          </w:p>
        </w:tc>
        <w:tc>
          <w:tcPr>
            <w:tcW w:w="992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64,9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73,7</w:t>
            </w:r>
          </w:p>
        </w:tc>
        <w:tc>
          <w:tcPr>
            <w:tcW w:w="992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82,4</w:t>
            </w:r>
          </w:p>
        </w:tc>
        <w:tc>
          <w:tcPr>
            <w:tcW w:w="993" w:type="dxa"/>
            <w:vAlign w:val="center"/>
          </w:tcPr>
          <w:p w:rsidR="00CE3E6E" w:rsidRPr="00FA0B2A" w:rsidRDefault="00DB75E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91,2</w:t>
            </w:r>
          </w:p>
        </w:tc>
        <w:tc>
          <w:tcPr>
            <w:tcW w:w="1134" w:type="dxa"/>
            <w:vAlign w:val="center"/>
          </w:tcPr>
          <w:p w:rsidR="00CE3E6E" w:rsidRPr="00FA0B2A" w:rsidRDefault="00CE3E6E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</w:t>
            </w:r>
          </w:p>
        </w:tc>
      </w:tr>
    </w:tbl>
    <w:p w:rsidR="00CE3E6E" w:rsidRPr="00FA0B2A" w:rsidRDefault="00CE3E6E" w:rsidP="004E1D3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E6E" w:rsidRPr="00FA0B2A" w:rsidRDefault="00CE3E6E" w:rsidP="004E1D38">
      <w:pPr>
        <w:pStyle w:val="a9"/>
        <w:spacing w:after="0" w:line="240" w:lineRule="auto"/>
        <w:ind w:firstLine="567"/>
        <w:jc w:val="both"/>
        <w:rPr>
          <w:rStyle w:val="33"/>
          <w:color w:val="000000"/>
          <w:sz w:val="24"/>
          <w:szCs w:val="24"/>
        </w:rPr>
      </w:pPr>
      <w:r w:rsidRPr="00FA0B2A">
        <w:rPr>
          <w:rStyle w:val="33"/>
          <w:color w:val="000000"/>
          <w:sz w:val="24"/>
          <w:szCs w:val="24"/>
        </w:rPr>
        <w:t>4.2.2. Изменение численности работников Учреждений путём уменьшения к 2018 году на 10%.</w:t>
      </w:r>
    </w:p>
    <w:p w:rsidR="00CE3E6E" w:rsidRPr="00FA0B2A" w:rsidRDefault="00CE3E6E" w:rsidP="004E1D38">
      <w:pPr>
        <w:pStyle w:val="a9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A0B2A">
        <w:rPr>
          <w:rStyle w:val="33"/>
          <w:sz w:val="24"/>
          <w:szCs w:val="24"/>
        </w:rPr>
        <w:t>(процентов)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241"/>
      </w:tblGrid>
      <w:tr w:rsidR="00CE3E6E" w:rsidRPr="00FA0B2A" w:rsidTr="00C72FB2">
        <w:tc>
          <w:tcPr>
            <w:tcW w:w="1488" w:type="dxa"/>
          </w:tcPr>
          <w:p w:rsidR="00CE3E6E" w:rsidRPr="00FA0B2A" w:rsidRDefault="00CE3E6E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488" w:type="dxa"/>
          </w:tcPr>
          <w:p w:rsidR="00CE3E6E" w:rsidRPr="00FA0B2A" w:rsidRDefault="00CE3E6E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489" w:type="dxa"/>
          </w:tcPr>
          <w:p w:rsidR="00CE3E6E" w:rsidRPr="00FA0B2A" w:rsidRDefault="00CE3E6E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1489" w:type="dxa"/>
          </w:tcPr>
          <w:p w:rsidR="00CE3E6E" w:rsidRPr="00FA0B2A" w:rsidRDefault="00CE3E6E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489" w:type="dxa"/>
          </w:tcPr>
          <w:p w:rsidR="00CE3E6E" w:rsidRPr="00FA0B2A" w:rsidRDefault="00CE3E6E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489" w:type="dxa"/>
          </w:tcPr>
          <w:p w:rsidR="00CE3E6E" w:rsidRPr="00FA0B2A" w:rsidRDefault="00CE3E6E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241" w:type="dxa"/>
          </w:tcPr>
          <w:p w:rsidR="00CE3E6E" w:rsidRPr="00FA0B2A" w:rsidRDefault="00CE3E6E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CE3E6E" w:rsidRPr="00FA0B2A" w:rsidTr="00C72FB2">
        <w:tc>
          <w:tcPr>
            <w:tcW w:w="1488" w:type="dxa"/>
          </w:tcPr>
          <w:p w:rsidR="00CE3E6E" w:rsidRPr="00FA0B2A" w:rsidRDefault="004933A9" w:rsidP="00294C24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88" w:type="dxa"/>
          </w:tcPr>
          <w:p w:rsidR="00CE3E6E" w:rsidRPr="00FA0B2A" w:rsidRDefault="004933A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89" w:type="dxa"/>
          </w:tcPr>
          <w:p w:rsidR="00CE3E6E" w:rsidRPr="00FA0B2A" w:rsidRDefault="00294C24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89" w:type="dxa"/>
          </w:tcPr>
          <w:p w:rsidR="00CE3E6E" w:rsidRPr="00FA0B2A" w:rsidRDefault="00DB75E9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294C24"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89" w:type="dxa"/>
          </w:tcPr>
          <w:p w:rsidR="00CE3E6E" w:rsidRPr="00FA0B2A" w:rsidRDefault="00294C24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89" w:type="dxa"/>
          </w:tcPr>
          <w:p w:rsidR="00CE3E6E" w:rsidRPr="00FA0B2A" w:rsidRDefault="00294C24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41" w:type="dxa"/>
          </w:tcPr>
          <w:p w:rsidR="00CE3E6E" w:rsidRPr="00FA0B2A" w:rsidRDefault="00294C24" w:rsidP="004E1D3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CE3E6E" w:rsidRPr="00FA0B2A" w:rsidRDefault="00CE3E6E" w:rsidP="004E1D38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73C6" w:rsidRPr="00FA0B2A" w:rsidRDefault="00E173C6" w:rsidP="00BB42A1">
      <w:pPr>
        <w:numPr>
          <w:ilvl w:val="0"/>
          <w:numId w:val="7"/>
        </w:numPr>
        <w:tabs>
          <w:tab w:val="left" w:pos="946"/>
        </w:tabs>
        <w:jc w:val="center"/>
      </w:pPr>
      <w:r w:rsidRPr="00FA0B2A">
        <w:t>Основные мероприятия, направленные на повышение эффективности и качества предоставляемых услуг в сфере культуры, связанные с переходом</w:t>
      </w:r>
    </w:p>
    <w:p w:rsidR="00E173C6" w:rsidRPr="00FA0B2A" w:rsidRDefault="00E173C6" w:rsidP="00E173C6">
      <w:pPr>
        <w:tabs>
          <w:tab w:val="left" w:pos="946"/>
        </w:tabs>
        <w:jc w:val="center"/>
        <w:rPr>
          <w:lang w:val="en-US"/>
        </w:rPr>
      </w:pPr>
      <w:r w:rsidRPr="00FA0B2A">
        <w:t>на эффективный контракт</w:t>
      </w:r>
    </w:p>
    <w:tbl>
      <w:tblPr>
        <w:tblW w:w="1020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1842"/>
      </w:tblGrid>
      <w:tr w:rsidR="00E173C6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C6" w:rsidRPr="00FA0B2A" w:rsidRDefault="00E17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B2A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C6" w:rsidRPr="00FA0B2A" w:rsidRDefault="00E17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B2A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C6" w:rsidRPr="00FA0B2A" w:rsidRDefault="00E17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B2A"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C6" w:rsidRPr="00FA0B2A" w:rsidRDefault="00E17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B2A">
              <w:t>Сроки исполнения</w:t>
            </w:r>
          </w:p>
        </w:tc>
      </w:tr>
      <w:tr w:rsidR="00E173C6" w:rsidRPr="00FA0B2A" w:rsidTr="00C72F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3C6" w:rsidRPr="00FA0B2A" w:rsidRDefault="00E17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FA0B2A">
              <w:t>Совершенствование системы оплаты труда</w:t>
            </w:r>
          </w:p>
        </w:tc>
      </w:tr>
      <w:tr w:rsidR="004933A9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1.Разработка (изменение) показателей эффективности деятельности Учреждений и их руководителей в соответствии с методическими рекомендациями Министерства культуры Российской Федерации (далее Минкультуры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муниципальные правовые акты Администрации городского поселения Лянтор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Администрация </w:t>
            </w:r>
            <w:r w:rsidR="00D26B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городского поселения Лянтор (далее – Администрация);</w:t>
            </w: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МКУ «</w:t>
            </w:r>
            <w:proofErr w:type="spellStart"/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Лянторское</w:t>
            </w:r>
            <w:proofErr w:type="spellEnd"/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управление по культуре, спорту и делам молодёжи</w:t>
            </w:r>
            <w:r w:rsidR="00DB75E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(далее-Управление по культуре)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ежегодно </w:t>
            </w: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(изменение по мере необходимости)</w:t>
            </w:r>
          </w:p>
        </w:tc>
      </w:tr>
      <w:tr w:rsidR="004933A9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2. Оценка эффективности </w:t>
            </w:r>
            <w:r w:rsidRPr="00FA0B2A">
              <w:lastRenderedPageBreak/>
              <w:t>деятельности Учреждений, и их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lastRenderedPageBreak/>
              <w:t xml:space="preserve">аналитические </w:t>
            </w:r>
            <w:r w:rsidRPr="00FA0B2A">
              <w:lastRenderedPageBreak/>
              <w:t>заключения управления по культу</w:t>
            </w:r>
            <w:r w:rsidR="00BB42A1">
              <w:t>р</w:t>
            </w:r>
            <w:r w:rsidRPr="00FA0B2A"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г.п</w:t>
            </w:r>
            <w:proofErr w:type="gramStart"/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янтор</w:t>
            </w:r>
            <w:proofErr w:type="spellEnd"/>
            <w:r w:rsidRPr="00FA0B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BB42A1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е</w:t>
            </w:r>
            <w:r w:rsidR="004933A9" w:rsidRPr="00FA0B2A">
              <w:t xml:space="preserve">жегодно до 1 </w:t>
            </w:r>
            <w:r w:rsidR="004933A9" w:rsidRPr="00FA0B2A">
              <w:lastRenderedPageBreak/>
              <w:t>февраля</w:t>
            </w:r>
          </w:p>
        </w:tc>
      </w:tr>
      <w:tr w:rsidR="004933A9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lastRenderedPageBreak/>
              <w:t>3. Проведение мероприятий направленных на повышение эффективности бюджетных расходов, а также по возможному привлечению средств от приносящей доход деятельности, направляемых на повышение заработной платы работников Учреждений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  <w:r w:rsidR="002247A1">
              <w:t>. Доля средств от приносящей доход деятельности в фонде заработной платы учреждений должна составлять 5%-7%.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муниципальные 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670D6C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по мере необходимости</w:t>
            </w:r>
          </w:p>
        </w:tc>
      </w:tr>
      <w:tr w:rsidR="004933A9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4. Внесение изменений в положения по оплате труда работников Учреждений, обеспечивающих достижение показателей повышения оплаты труда в соответствии с </w:t>
            </w:r>
            <w:hyperlink r:id="rId11" w:history="1">
              <w:r w:rsidRPr="00FA0B2A">
                <w:t>Указом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DB75E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</w:t>
            </w:r>
            <w:r w:rsidR="004933A9" w:rsidRPr="00FA0B2A">
              <w:t xml:space="preserve">ормативные 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Администрация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по мере необходимости </w:t>
            </w:r>
          </w:p>
        </w:tc>
      </w:tr>
      <w:tr w:rsidR="00C47F3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D" w:rsidRPr="00FA0B2A" w:rsidRDefault="00C47F3D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D26BFA">
              <w:t>Внедрение</w:t>
            </w:r>
            <w:r w:rsidR="00670494">
              <w:t xml:space="preserve"> методических рекомендаций при разработке примерных положений по оплате труда работников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D" w:rsidRPr="00FA0B2A" w:rsidRDefault="00DB75E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D" w:rsidRDefault="00DB75E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 Управление по культуре</w:t>
            </w:r>
          </w:p>
          <w:p w:rsidR="00D26BFA" w:rsidRPr="00FA0B2A" w:rsidRDefault="00D26BFA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Директора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3D" w:rsidRPr="00FA0B2A" w:rsidRDefault="00DB75E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по мере необходимости</w:t>
            </w:r>
          </w:p>
        </w:tc>
      </w:tr>
      <w:tr w:rsidR="004933A9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6. Внедрение нормативно-</w:t>
            </w:r>
            <w:proofErr w:type="spellStart"/>
            <w:r w:rsidRPr="00FA0B2A">
              <w:t>подушевого</w:t>
            </w:r>
            <w:proofErr w:type="spellEnd"/>
            <w:r w:rsidRPr="00FA0B2A">
              <w:t xml:space="preserve"> финансирования в Учреждениях с целью установления общих требований к определению нормативных затрат на оказание муниципальных услуг, в соответствии с действующим законодательством Российской Федерации,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правовой акт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 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4933A9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FA0B2A">
              <w:t xml:space="preserve">7. Применение систем нормирования труда в муниципальных учреждениях культуры с учетом типовых (межотраслевых) норм, при формировании штатного расписания и установления штатной численности, в соответствии с типовыми </w:t>
            </w:r>
            <w:r w:rsidRPr="00FA0B2A">
              <w:lastRenderedPageBreak/>
              <w:t>межотраслевыми нормами труда, методическими рекомендациями, утвержденных приказом Минтруда России от 30.09.2013 № 504 «Об утверждении методических рекомендаций по разработке систем нормирования труда в государственных (муниципальных) учреждениях».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DB75E9" w:rsidP="00D26B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A0B2A">
              <w:lastRenderedPageBreak/>
              <w:t>м</w:t>
            </w:r>
            <w:proofErr w:type="gramEnd"/>
            <w:r w:rsidRPr="00FA0B2A">
              <w:t xml:space="preserve">униципальные </w:t>
            </w:r>
            <w:r w:rsidR="004933A9" w:rsidRPr="00FA0B2A">
              <w:t xml:space="preserve">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 Управление по культуре</w:t>
            </w:r>
          </w:p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ежегодно </w:t>
            </w:r>
          </w:p>
        </w:tc>
      </w:tr>
      <w:tr w:rsidR="004933A9" w:rsidRPr="00FA0B2A" w:rsidTr="00C72F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4933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FA0B2A">
              <w:lastRenderedPageBreak/>
              <w:t>Контроль за</w:t>
            </w:r>
            <w:proofErr w:type="gramEnd"/>
            <w:r w:rsidRPr="00FA0B2A">
              <w:t xml:space="preserve">  выполнением в полном объеме мер по созданию </w:t>
            </w:r>
          </w:p>
          <w:p w:rsidR="004933A9" w:rsidRPr="00FA0B2A" w:rsidRDefault="004933A9" w:rsidP="004933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0B2A">
              <w:t>прозрачного механизма оплаты труда руководителей Учреждений</w:t>
            </w:r>
          </w:p>
        </w:tc>
      </w:tr>
      <w:tr w:rsidR="004933A9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9. </w:t>
            </w:r>
            <w:proofErr w:type="gramStart"/>
            <w:r w:rsidRPr="00FA0B2A">
              <w:t xml:space="preserve">Организация мероприятий по </w:t>
            </w:r>
            <w:r w:rsidR="00530C19">
              <w:t xml:space="preserve">своевременному </w:t>
            </w:r>
            <w:r w:rsidRPr="00FA0B2A">
              <w:t>представлению руководителем Учреждения сведений о доходах, об имуществе и обязательствах имущественного характера руководителя, его супруги (супруга и несовершеннолетних детей, а также граждан претендующих на занятие соответствующих должностей и размещение их в системе Интернет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Default="004933A9" w:rsidP="000B6D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правовой акт </w:t>
            </w:r>
            <w:r w:rsidR="00530C19">
              <w:t>А</w:t>
            </w:r>
            <w:r w:rsidRPr="00FA0B2A">
              <w:t xml:space="preserve">дминистрации </w:t>
            </w:r>
          </w:p>
          <w:p w:rsidR="00385AE7" w:rsidRPr="00FA0B2A" w:rsidRDefault="00385AE7" w:rsidP="000B6D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100% размещение сведений в системе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530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A9" w:rsidRPr="00FA0B2A" w:rsidRDefault="004933A9" w:rsidP="004933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A533F8" w:rsidRDefault="008374AD" w:rsidP="003421EF">
            <w:r w:rsidRPr="00A533F8">
              <w:t>10</w:t>
            </w:r>
            <w:r w:rsidRPr="00A533F8">
              <w:rPr>
                <w:color w:val="FF0000"/>
              </w:rPr>
              <w:t xml:space="preserve">. </w:t>
            </w:r>
            <w:proofErr w:type="gramStart"/>
            <w:r w:rsidRPr="002610F4">
              <w:t xml:space="preserve">Обеспечение проверок достоверности и полноты сведений о доходах, имуществе и обязательствах имущественного характера, предоставляемых руководителями Учреждений, в порядке, установленном  постановлением Администрации </w:t>
            </w:r>
            <w:r w:rsidR="00A533F8" w:rsidRPr="002610F4">
              <w:t xml:space="preserve">городского поселения Лянтор от </w:t>
            </w:r>
            <w:r w:rsidR="00A533F8" w:rsidRPr="002610F4">
              <w:rPr>
                <w:szCs w:val="28"/>
              </w:rPr>
              <w:t xml:space="preserve"> 16  апреля 2013 года № 17</w:t>
            </w:r>
            <w:r w:rsidR="003421EF">
              <w:rPr>
                <w:szCs w:val="28"/>
              </w:rPr>
              <w:t>4</w:t>
            </w:r>
            <w:r w:rsidR="00A533F8" w:rsidRPr="002610F4">
              <w:rPr>
                <w:szCs w:val="28"/>
              </w:rPr>
              <w:t xml:space="preserve"> «</w:t>
            </w:r>
            <w:r w:rsidR="00A533F8" w:rsidRPr="002610F4"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городское поселение Лянтор</w:t>
            </w:r>
            <w:proofErr w:type="gramEnd"/>
            <w:r w:rsidR="00A533F8" w:rsidRPr="002610F4">
              <w:t>, и лицами, замещающими эти должности</w:t>
            </w:r>
            <w:r w:rsidR="00A533F8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8A7BE2" w:rsidRDefault="008374AD" w:rsidP="00530C19">
            <w:pPr>
              <w:widowControl w:val="0"/>
              <w:autoSpaceDE w:val="0"/>
              <w:autoSpaceDN w:val="0"/>
              <w:adjustRightInd w:val="0"/>
            </w:pPr>
            <w:r w:rsidRPr="008A7BE2">
              <w:t xml:space="preserve">заключения о результатах проверок Администрации </w:t>
            </w:r>
          </w:p>
          <w:p w:rsidR="00A533F8" w:rsidRPr="008A7BE2" w:rsidRDefault="00A533F8" w:rsidP="00530C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8A7BE2" w:rsidRDefault="008374AD" w:rsidP="000B6D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7BE2">
              <w:t xml:space="preserve">Администрация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</w:tblGrid>
            <w:tr w:rsidR="00A533F8" w:rsidRPr="008A7BE2" w:rsidTr="003424D0">
              <w:tc>
                <w:tcPr>
                  <w:tcW w:w="6204" w:type="dxa"/>
                </w:tcPr>
                <w:p w:rsidR="00A533F8" w:rsidRPr="008A7BE2" w:rsidRDefault="00A533F8" w:rsidP="003424D0"/>
              </w:tc>
            </w:tr>
          </w:tbl>
          <w:p w:rsidR="00A533F8" w:rsidRPr="008A7BE2" w:rsidRDefault="00A533F8" w:rsidP="00530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DB75E9" w:rsidP="000B6D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</w:t>
            </w:r>
            <w:r w:rsidR="008374AD" w:rsidRPr="00FA0B2A">
              <w:t>жегодно</w:t>
            </w:r>
          </w:p>
        </w:tc>
      </w:tr>
      <w:tr w:rsidR="008374AD" w:rsidRPr="008A7BE2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8A7BE2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7BE2">
              <w:t xml:space="preserve">11.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РФ от 12.04.2013 № 329 «О типовой форме трудового договора с </w:t>
            </w:r>
            <w:r w:rsidRPr="008A7BE2">
              <w:lastRenderedPageBreak/>
              <w:t>руководителем государственного (муниципального) учреждения».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8A7BE2" w:rsidRDefault="008374AD" w:rsidP="00530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A7BE2">
              <w:lastRenderedPageBreak/>
              <w:t>м</w:t>
            </w:r>
            <w:proofErr w:type="gramEnd"/>
            <w:r w:rsidRPr="008A7BE2">
              <w:t xml:space="preserve">униципальные 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8A7BE2" w:rsidRDefault="008374AD" w:rsidP="00530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7BE2"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8A7BE2" w:rsidRDefault="00670D6C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7BE2">
              <w:t>е</w:t>
            </w:r>
            <w:r w:rsidR="008374AD" w:rsidRPr="008A7BE2">
              <w:t>жегодно</w:t>
            </w:r>
            <w:r w:rsidRPr="008A7BE2">
              <w:t>,</w:t>
            </w:r>
            <w:r w:rsidR="008374AD" w:rsidRPr="008A7BE2">
              <w:t xml:space="preserve"> </w:t>
            </w:r>
            <w:r w:rsidRPr="008A7BE2">
              <w:t>по мере необходимости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lastRenderedPageBreak/>
              <w:t>12. Соблюдение установленных соотношений средней заработной платы руководителей Учреждений и средней заработной платы работников Учреждений в кратности от 1 до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8374AD" w:rsidP="00530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муниципальные 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8374AD" w:rsidP="00530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 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0B6D92" w:rsidP="00670D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ежегодно</w:t>
            </w:r>
            <w:r w:rsidR="00670D6C" w:rsidRPr="00FA0B2A">
              <w:t xml:space="preserve"> 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13. Применение и актуализация порядка и условий оценки деятельности руководителя Учреждения с целью установления (определения) премиальных выплат, предусматривающих в качестве одного из критериев оценки деятельности руководителя для осуществления ему стимулирующих выплат </w:t>
            </w:r>
          </w:p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«обеспечение соотношения средней заработной платы работников Учреждений со средней заработной платой </w:t>
            </w:r>
            <w:proofErr w:type="gramStart"/>
            <w:r w:rsidRPr="00FA0B2A">
              <w:t>в</w:t>
            </w:r>
            <w:proofErr w:type="gramEnd"/>
            <w:r w:rsidRPr="00FA0B2A">
              <w:t xml:space="preserve"> </w:t>
            </w:r>
            <w:proofErr w:type="gramStart"/>
            <w:r w:rsidRPr="00FA0B2A">
              <w:t>Ханты-Мансийском</w:t>
            </w:r>
            <w:proofErr w:type="gramEnd"/>
            <w:r w:rsidRPr="00FA0B2A">
              <w:t xml:space="preserve"> автономном округе – Югре»; проведение мониторинга за соблюдением данного требования в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DB75E9" w:rsidP="00530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</w:t>
            </w:r>
            <w:r w:rsidR="008374AD" w:rsidRPr="00FA0B2A">
              <w:t>уни</w:t>
            </w:r>
            <w:r w:rsidR="00530C19">
              <w:t>ци</w:t>
            </w:r>
            <w:r w:rsidR="008374AD" w:rsidRPr="00FA0B2A">
              <w:t xml:space="preserve">пальные правовые акты Администрации </w:t>
            </w:r>
            <w:r w:rsidR="00530C19" w:rsidRPr="00FA0B2A">
              <w:t>Управлени</w:t>
            </w:r>
            <w:r w:rsidR="00530C19">
              <w:t>я</w:t>
            </w:r>
            <w:r w:rsidR="00530C19" w:rsidRPr="00FA0B2A">
              <w:t xml:space="preserve">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8374AD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 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0B6D92" w:rsidP="00DB75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ежегодно</w:t>
            </w:r>
          </w:p>
        </w:tc>
      </w:tr>
      <w:tr w:rsidR="008374AD" w:rsidRPr="00FA0B2A" w:rsidTr="00C72F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FA0B2A">
              <w:t xml:space="preserve">Развитие кадрового потенциала работников Учреждений 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14. </w:t>
            </w:r>
            <w:proofErr w:type="gramStart"/>
            <w:r w:rsidRPr="00FA0B2A">
              <w:t xml:space="preserve">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и повышения их квалификации, а также аттестации, проводимой в соответствии с рекомендациями, утвержденными приказом Минтруда РФ от 26.04.2013 № 167н «Об утверждении рекомендаций по оформлению трудовых отношений с работником государственного (муниципального) учреждения при введении в 2014 – 2015 годах «эффективного контракта»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8A7BE2" w:rsidRDefault="008A7BE2" w:rsidP="000B6D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7BE2">
              <w:t>Планы</w:t>
            </w:r>
            <w:r w:rsidR="008374AD" w:rsidRPr="008A7BE2">
              <w:t xml:space="preserve"> Учреждений по получению дополнительного профессионального образования, проведения аттестации, </w:t>
            </w:r>
            <w:r w:rsidR="000B6D92" w:rsidRPr="008A7BE2">
              <w:t>обучения на курсах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1" w:rsidRDefault="00631821" w:rsidP="0063182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</w:t>
            </w:r>
          </w:p>
          <w:p w:rsidR="008374AD" w:rsidRPr="000B6D92" w:rsidRDefault="008374AD" w:rsidP="0063182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6D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культуре</w:t>
            </w:r>
          </w:p>
          <w:p w:rsidR="008374AD" w:rsidRPr="000B6D92" w:rsidRDefault="008374AD" w:rsidP="00631821">
            <w:pPr>
              <w:pStyle w:val="a9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0B6D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ежегодно 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rPr>
                <w:bCs/>
                <w:iCs/>
              </w:rPr>
              <w:t>16. Актуализация квалификационных требований и компетенций, необходимых для оказания муниципальных услуг (выполнения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8374AD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муниципальные 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8374AD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 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17. Организация деятельности Учреждений в соответствии с профессиональными стандартами работников учреждений культуры, принятых Минкультуры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FA0B2A" w:rsidRDefault="00631821" w:rsidP="006318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муниципальные </w:t>
            </w:r>
            <w:r w:rsidR="008374AD" w:rsidRPr="00FA0B2A">
              <w:t xml:space="preserve">правовые акты </w:t>
            </w:r>
            <w:r>
              <w:t>Администрации</w:t>
            </w:r>
            <w:r w:rsidR="000B6D92" w:rsidRPr="00FA0B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1" w:rsidRDefault="00631821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8374AD" w:rsidRDefault="008374AD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  <w:p w:rsidR="007D1985" w:rsidRPr="00FA0B2A" w:rsidRDefault="007D1985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ежегодно 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lastRenderedPageBreak/>
              <w:t>18. Проведение мероприятий по организации заключения дополнительных соглашений к трудовым договорам (трудовых договоров) с работниками Учреждений в связи с введением эффективного контракта, предусматривающего внедрение показателей и критериев эффективности деятельности работников государственных (муниципальных) учреждений культуры в соответствии с примерной формой трудового договора («эффективный контракт»)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5" w:rsidRPr="00631821" w:rsidRDefault="008374AD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1821">
              <w:t>муниципальные правовые акты Администрации</w:t>
            </w:r>
            <w:r w:rsidR="007D1985" w:rsidRPr="00631821">
              <w:t>;</w:t>
            </w:r>
          </w:p>
          <w:p w:rsidR="008374AD" w:rsidRPr="00631821" w:rsidRDefault="007D1985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1821">
              <w:t>правовые акты Учреждений</w:t>
            </w:r>
            <w:r w:rsidR="008374AD" w:rsidRPr="0063182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D" w:rsidRPr="00631821" w:rsidRDefault="008374AD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31821">
              <w:t>Администрация 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670D6C" w:rsidP="00670D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</w:t>
            </w:r>
            <w:r w:rsidR="008374AD" w:rsidRPr="00FA0B2A">
              <w:t>жегодно</w:t>
            </w:r>
            <w:r>
              <w:t>,</w:t>
            </w:r>
            <w:r w:rsidR="00631821">
              <w:t xml:space="preserve"> </w:t>
            </w:r>
            <w:r w:rsidR="008374AD" w:rsidRPr="00FA0B2A">
              <w:t>по мере необходимости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19. Анализ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РФ от 26.11.2012 № 2190-р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информация Упр</w:t>
            </w:r>
            <w:r w:rsidR="00BE54A1" w:rsidRPr="00FA0B2A">
              <w:t>а</w:t>
            </w:r>
            <w:r w:rsidRPr="00FA0B2A">
              <w:t>вления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</w:t>
            </w:r>
            <w:r w:rsidR="00BE54A1" w:rsidRPr="00FA0B2A">
              <w:t>р</w:t>
            </w:r>
            <w:r w:rsidRPr="00FA0B2A"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670D6C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по мере необходимости</w:t>
            </w:r>
            <w:r w:rsidR="008374AD" w:rsidRPr="00FA0B2A">
              <w:t xml:space="preserve"> </w:t>
            </w:r>
          </w:p>
        </w:tc>
      </w:tr>
      <w:tr w:rsidR="008374AD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4159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20. Представление </w:t>
            </w:r>
            <w:r w:rsidR="004159C0">
              <w:t>а</w:t>
            </w:r>
            <w:r w:rsidRPr="00FA0B2A">
              <w:t xml:space="preserve">дминистрациями  МО Сургутского района в </w:t>
            </w:r>
            <w:proofErr w:type="spellStart"/>
            <w:r w:rsidRPr="00FA0B2A">
              <w:t>УКМПТиС</w:t>
            </w:r>
            <w:proofErr w:type="spellEnd"/>
            <w:r w:rsidRPr="00FA0B2A">
              <w:t xml:space="preserve"> администрации Сургутского района  информации об анализе лучших практик внедрения эффективного контракта, предусмотренного </w:t>
            </w:r>
            <w:hyperlink r:id="rId12" w:history="1">
              <w:r w:rsidRPr="00FA0B2A">
                <w:rPr>
                  <w:rStyle w:val="ac"/>
                </w:rPr>
                <w:t>Программой</w:t>
              </w:r>
            </w:hyperlink>
            <w:r w:rsidRPr="00FA0B2A">
              <w:t xml:space="preserve"> поэтапного совершенствования системы оплаты труда в муниципальных учреждениях на 2012 – 2018 годы, утвержденной распоряжением Правительства Российской Федерации от 26.11.2012 № 2190-р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DB75E9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="008374AD" w:rsidRPr="00FA0B2A">
              <w:t xml:space="preserve">тчет в  </w:t>
            </w:r>
            <w:proofErr w:type="spellStart"/>
            <w:r w:rsidR="00BE54A1" w:rsidRPr="00FA0B2A">
              <w:t>УКМПТиС</w:t>
            </w:r>
            <w:proofErr w:type="spellEnd"/>
            <w:r w:rsidR="00BE54A1" w:rsidRPr="00FA0B2A">
              <w:t xml:space="preserve"> администрации Сургутского района  </w:t>
            </w:r>
            <w:r w:rsidR="008374AD" w:rsidRPr="00FA0B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BE54A1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D" w:rsidRPr="00FA0B2A" w:rsidRDefault="008374AD" w:rsidP="008374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ежегодно, начиная с 2014 года</w:t>
            </w:r>
          </w:p>
        </w:tc>
      </w:tr>
      <w:tr w:rsidR="00BE54A1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21. </w:t>
            </w:r>
            <w:proofErr w:type="gramStart"/>
            <w:r w:rsidRPr="00FA0B2A">
              <w:t xml:space="preserve">Обеспечение дифференциации оплаты труда основного и прочего персонала, оптимизация расходов на административно- управленческий и вспомогательный персонал Учреждений, с учетом предельной доли расходов на оплату их труда в фонде оплаты труда Учреждений – не более 40% и обеспечение соотношения заработной платы основного и вспомогательного персонала (1 к 0,7, - 0,5) с учетом </w:t>
            </w:r>
            <w:r w:rsidRPr="00FA0B2A">
              <w:lastRenderedPageBreak/>
              <w:t>типа Учреждения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lastRenderedPageBreak/>
              <w:t xml:space="preserve">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1" w:rsidRDefault="00631821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BE54A1" w:rsidRPr="00FA0B2A" w:rsidRDefault="00BE54A1" w:rsidP="007D19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ежегодно </w:t>
            </w:r>
          </w:p>
        </w:tc>
      </w:tr>
      <w:tr w:rsidR="00BE54A1" w:rsidRPr="00FA0B2A" w:rsidTr="00C72F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B2A">
              <w:lastRenderedPageBreak/>
              <w:t xml:space="preserve">Мониторинг достижения целевых показателей средней заработной платы отдельных категорий работников, определенных </w:t>
            </w:r>
            <w:hyperlink r:id="rId13" w:history="1">
              <w:r w:rsidRPr="00FA0B2A">
                <w:rPr>
                  <w:rStyle w:val="ac"/>
                </w:rPr>
                <w:t>Указом</w:t>
              </w:r>
            </w:hyperlink>
          </w:p>
        </w:tc>
      </w:tr>
      <w:tr w:rsidR="00BE54A1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023C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22. </w:t>
            </w:r>
            <w:r w:rsidR="00DB75E9">
              <w:t>Проведение</w:t>
            </w:r>
            <w:r w:rsidRPr="00FA0B2A">
              <w:t xml:space="preserve"> анализа результатов реализации «дорожной карты»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DB75E9" w:rsidP="00023C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BE54A1" w:rsidRPr="00FA0B2A">
              <w:t xml:space="preserve">налитическая информация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023C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 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BE54A1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23. </w:t>
            </w:r>
            <w:proofErr w:type="gramStart"/>
            <w:r w:rsidRPr="00FA0B2A">
              <w:t xml:space="preserve"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Указом, с учетом ситуации на рынке труда, в том числе в части дефицита (избытка) кадров, с целью недопущения отставания от установленных Планом № 2606-р и в «дорожной карте» Ханты-Мансийского автономного округа – Югры целевых показателей динамики повышения заработной платы работников Учреждений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информация </w:t>
            </w:r>
            <w:r w:rsidR="00E2371C">
              <w:t>А</w:t>
            </w:r>
            <w:r w:rsidRPr="00FA0B2A">
              <w:t xml:space="preserve">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1" w:rsidRDefault="0063182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BE54A1" w:rsidRPr="00FA0B2A" w:rsidRDefault="00BE54A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ежеквартально</w:t>
            </w:r>
          </w:p>
        </w:tc>
      </w:tr>
      <w:tr w:rsidR="00BE54A1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24. Разработка и утверждение форм мониторинга реализации мероприятий и достижения целевых показателей (индикаторов) «дорожной карты»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правовой акт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1" w:rsidRDefault="0063182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BE54A1" w:rsidRPr="00FA0B2A" w:rsidRDefault="00E2371C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</w:t>
            </w:r>
            <w:r w:rsidR="00BE54A1" w:rsidRPr="00FA0B2A">
              <w:t>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E2371C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2015</w:t>
            </w:r>
            <w:r w:rsidR="00BE54A1" w:rsidRPr="00FA0B2A">
              <w:t xml:space="preserve"> год</w:t>
            </w:r>
          </w:p>
        </w:tc>
      </w:tr>
      <w:tr w:rsidR="00BE54A1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25. Проведение мониторинга реализации мероприятий, предусмотренных «дорожной картой», достижения целевых показателей (индикаторов) «дорожной карты», в том числе индикативных значений, связанных с повышением оплаты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информация </w:t>
            </w:r>
            <w:r w:rsidR="00E2371C">
              <w:t>У</w:t>
            </w:r>
            <w:r w:rsidRPr="00FA0B2A">
              <w:t xml:space="preserve">правления по культуре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ежегодно </w:t>
            </w:r>
          </w:p>
        </w:tc>
      </w:tr>
      <w:tr w:rsidR="00BE54A1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26. Обеспечение заполнения и представления форм федерального статистического наблюдения в сфере </w:t>
            </w:r>
            <w:proofErr w:type="gramStart"/>
            <w:r w:rsidRPr="00FA0B2A">
              <w:t>оплаты труда отдельных категорий работников социальной сферы</w:t>
            </w:r>
            <w:proofErr w:type="gramEnd"/>
            <w:r w:rsidRPr="00FA0B2A">
              <w:t xml:space="preserve"> и науки, в отношении которых предусмотрены мероприятия по повышению средней заработной платы в соответствии с Указом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формы статистического 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ежеквартально</w:t>
            </w:r>
          </w:p>
        </w:tc>
      </w:tr>
      <w:tr w:rsidR="00BE54A1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28. Уточнение потребности в дополнительных ресурсах на повышение заработной платы работников учреждений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информация в администрацию Сургутского района от </w:t>
            </w:r>
            <w:r w:rsidR="00E2371C">
              <w:t>А</w:t>
            </w:r>
            <w:r w:rsidRPr="00FA0B2A">
              <w:t xml:space="preserve">дминистрации городского поселения Лянтор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Администрация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BE54A1" w:rsidRPr="00FA0B2A" w:rsidTr="00C72F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A1" w:rsidRPr="00FA0B2A" w:rsidRDefault="00BE54A1" w:rsidP="00BE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B2A">
              <w:t>Независимая система оценки качества работы Учреждений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29. </w:t>
            </w:r>
            <w:proofErr w:type="gramStart"/>
            <w:r w:rsidRPr="00FA0B2A">
              <w:t xml:space="preserve">Обеспечение </w:t>
            </w:r>
            <w:r w:rsidRPr="00FA0B2A">
              <w:lastRenderedPageBreak/>
              <w:t xml:space="preserve">функционирования независимой системы оценки качества работы муниципальных учреждений культуры в соответствии с постановлением Правительства РФ от 30.03.2013 № 286 «О формировании независимой системы оценки 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</w:t>
            </w:r>
            <w:proofErr w:type="spellStart"/>
            <w:r w:rsidRPr="00FA0B2A">
              <w:t>Минкульутры</w:t>
            </w:r>
            <w:proofErr w:type="spellEnd"/>
            <w:r w:rsidRPr="00FA0B2A">
              <w:t xml:space="preserve"> РФ от 30.09.2013 № 1505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E" w:rsidRPr="00FA0B2A" w:rsidRDefault="00C324DE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lastRenderedPageBreak/>
              <w:t xml:space="preserve">муниципальные </w:t>
            </w:r>
            <w:r w:rsidRPr="00FA0B2A">
              <w:lastRenderedPageBreak/>
              <w:t xml:space="preserve">правовые акты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0B2A">
              <w:rPr>
                <w:color w:val="000000"/>
              </w:rPr>
              <w:lastRenderedPageBreak/>
              <w:t xml:space="preserve">Управление по </w:t>
            </w:r>
            <w:r w:rsidRPr="00FA0B2A">
              <w:rPr>
                <w:color w:val="000000"/>
              </w:rPr>
              <w:lastRenderedPageBreak/>
              <w:t>культуре</w:t>
            </w:r>
          </w:p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0B2A">
              <w:rPr>
                <w:color w:val="000000"/>
              </w:rPr>
              <w:t>Общественный совет по оценке качества работы Учреждений</w:t>
            </w:r>
          </w:p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lastRenderedPageBreak/>
              <w:t xml:space="preserve">ежегодно 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lastRenderedPageBreak/>
              <w:t>30. Обеспечение координации работы по реализации в городе Лянторе независимой системы оценки качества работы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1C" w:rsidRDefault="00E2371C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</w:t>
            </w:r>
            <w:r w:rsidR="00C324DE" w:rsidRPr="00FA0B2A">
              <w:t xml:space="preserve">екомендации </w:t>
            </w:r>
            <w:r>
              <w:t>У</w:t>
            </w:r>
            <w:r w:rsidR="00C324DE" w:rsidRPr="00FA0B2A">
              <w:t>правления по культуре</w:t>
            </w:r>
          </w:p>
          <w:p w:rsidR="00C324DE" w:rsidRPr="00FA0B2A" w:rsidRDefault="00E2371C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правовые акты </w:t>
            </w:r>
            <w:r>
              <w:t>А</w:t>
            </w:r>
            <w:r w:rsidRPr="00FA0B2A">
              <w:t xml:space="preserve">дминистрации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E2371C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t>31. Создание и обеспечение организационно-технического сопровождения Общественного совета при администрации городского поселения Лянтор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E2371C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протокол заседания</w:t>
            </w:r>
            <w:r w:rsidR="00C324DE" w:rsidRPr="00FA0B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E2371C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t>32.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правовые акты </w:t>
            </w:r>
            <w:r w:rsidR="00E2371C">
              <w:t>Учреждений</w:t>
            </w:r>
            <w:r w:rsidRPr="00FA0B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E2371C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t>33. Обеспечение открытости и доступности информации о деятельности всех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4F0C5A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="00C324DE" w:rsidRPr="00FA0B2A">
              <w:rPr>
                <w:bCs/>
                <w:iCs/>
              </w:rPr>
              <w:t>воевременная актуализация информации официальных сайтов Учреждений, взаимодействие со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1" w:rsidRDefault="00631821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C324DE" w:rsidRPr="00FA0B2A" w:rsidRDefault="00E2371C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</w:t>
            </w:r>
            <w:r w:rsidR="00C324DE" w:rsidRPr="00FA0B2A">
              <w:t>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450BC5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t>34. Проведение мониторинга работы организаций культуры, формирование независимой оценки качества работы организаций культуры,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4F0C5A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C324DE" w:rsidRPr="00FA0B2A">
              <w:rPr>
                <w:bCs/>
                <w:iCs/>
              </w:rPr>
              <w:t>убликация рейтингов деятельности, разработка и утверждение планов работы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  <w:p w:rsidR="00E2371C" w:rsidRPr="00FA0B2A" w:rsidRDefault="00E2371C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начиная с 4 квартала 2015 года ежегодно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t>35. Проведение информационной кампании в средствах массовой информации, в том числе с использованием информационно-</w:t>
            </w:r>
            <w:r w:rsidRPr="00FA0B2A">
              <w:rPr>
                <w:bCs/>
                <w:iCs/>
              </w:rPr>
              <w:lastRenderedPageBreak/>
              <w:t>телекоммуникационной сети «Интернет» о функционировании независимой оценки качества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lastRenderedPageBreak/>
              <w:t xml:space="preserve">повышение информированности потребителей услуг и общественности о </w:t>
            </w:r>
            <w:r w:rsidRPr="00FA0B2A">
              <w:rPr>
                <w:bCs/>
                <w:iCs/>
              </w:rPr>
              <w:lastRenderedPageBreak/>
              <w:t>проведении независимой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1C" w:rsidRDefault="00E2371C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Администрация</w:t>
            </w:r>
            <w:r w:rsidR="00C324DE" w:rsidRPr="00FA0B2A">
              <w:t xml:space="preserve"> </w:t>
            </w:r>
            <w:r w:rsidRPr="00FA0B2A">
              <w:t>Управление по культуре</w:t>
            </w:r>
          </w:p>
          <w:p w:rsidR="00C324DE" w:rsidRPr="00FA0B2A" w:rsidRDefault="00C324DE" w:rsidP="00E237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450BC5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по мере необходимости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lastRenderedPageBreak/>
              <w:t>36. Проведение мониторинга функционирования независимой системы оценки качества работы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FA0B2A">
              <w:rPr>
                <w:bCs/>
                <w:iCs/>
              </w:rPr>
              <w:t xml:space="preserve">отчет о реализации независимой системы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Управление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</w:pPr>
            <w:r w:rsidRPr="00FA0B2A">
              <w:t>37.Участие в о</w:t>
            </w:r>
            <w:r w:rsidRPr="00FA0B2A">
              <w:rPr>
                <w:bCs/>
                <w:iCs/>
              </w:rPr>
              <w:t>бсуждении хода реализации региональной «дорожной карты» на заседаниях трехсторонней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4F0C5A" w:rsidP="00BA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C324DE" w:rsidRPr="00FA0B2A">
              <w:rPr>
                <w:bCs/>
                <w:iCs/>
              </w:rPr>
              <w:t>ротокол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A0B2A">
              <w:t>Депкультуры</w:t>
            </w:r>
            <w:proofErr w:type="spellEnd"/>
            <w:r w:rsidRPr="00FA0B2A">
              <w:t xml:space="preserve"> Югры, органы местного самоуправления МО и администрации Сургутского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по мере необходимости</w:t>
            </w:r>
          </w:p>
        </w:tc>
      </w:tr>
      <w:tr w:rsidR="00C324DE" w:rsidRPr="00FA0B2A" w:rsidTr="00C72FB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415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B2A">
              <w:t>Информационное сопровождение «дорожной карты»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38. Разработка и утверждение Учреждениями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дальнейшая их корректировка и актуализация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BA0D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правовые акты </w:t>
            </w:r>
            <w:r w:rsidR="00BA0D37">
              <w:t>А</w:t>
            </w:r>
            <w:r w:rsidRPr="00FA0B2A">
              <w:t xml:space="preserve">дминистрации 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BA0D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Администрация</w:t>
            </w:r>
            <w:r w:rsidR="00BA0D37">
              <w:t>;</w:t>
            </w:r>
            <w:r w:rsidRPr="00FA0B2A">
              <w:t xml:space="preserve"> </w:t>
            </w:r>
            <w:r w:rsidR="00BA0D37">
              <w:t>У</w:t>
            </w:r>
            <w:r w:rsidRPr="00FA0B2A">
              <w:t>правление по культуре</w:t>
            </w:r>
            <w:r w:rsidR="00BA0D37">
              <w:t>;</w:t>
            </w:r>
            <w:r w:rsidRPr="00FA0B2A">
              <w:t xml:space="preserve"> Учреждения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39. Обеспечение достижения целевых показателей и организация работы по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информация Учреждений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>ежегодно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BA0D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40. Разъяснительная работа о мероприятиях, реализуемых в соответствии с «дорожной картой» </w:t>
            </w:r>
            <w:r w:rsidR="001940AB" w:rsidRPr="00FA0B2A">
              <w:t>городского поселения Лянтор</w:t>
            </w:r>
            <w:r w:rsidRPr="00FA0B2A">
              <w:t xml:space="preserve">, в том числе мерах по повышению оплаты труда: в трудовых коллективах, публикации в средствах массовой информации, проведение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проведение </w:t>
            </w:r>
            <w:r w:rsidR="00BA0D37">
              <w:t xml:space="preserve">собраний, </w:t>
            </w:r>
            <w:r w:rsidRPr="00FA0B2A">
              <w:t xml:space="preserve">семинаров, других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Default="001940AB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Управление по культуре </w:t>
            </w:r>
            <w:r w:rsidR="00C324DE" w:rsidRPr="00FA0B2A">
              <w:t>Профсоюзная организация работни</w:t>
            </w:r>
            <w:r w:rsidR="00BA0D37">
              <w:t>ков культуры Сургутского района;</w:t>
            </w:r>
          </w:p>
          <w:p w:rsidR="00BA0D37" w:rsidRPr="00FA0B2A" w:rsidRDefault="00BA0D37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450BC5" w:rsidP="006318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</w:t>
            </w:r>
            <w:r w:rsidR="00C324DE" w:rsidRPr="00FA0B2A">
              <w:t>жегодно</w:t>
            </w:r>
            <w:r>
              <w:t xml:space="preserve">, </w:t>
            </w:r>
            <w:r w:rsidR="00C324DE" w:rsidRPr="00FA0B2A">
              <w:t>по мере необходимости</w:t>
            </w:r>
          </w:p>
        </w:tc>
      </w:tr>
      <w:tr w:rsidR="00C324DE" w:rsidRPr="00FA0B2A" w:rsidTr="00C72F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1940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42. При разработке муниципальной программы </w:t>
            </w:r>
            <w:r w:rsidR="001940AB" w:rsidRPr="00FA0B2A">
              <w:t>городского поселения Лянтор</w:t>
            </w:r>
            <w:r w:rsidRPr="00FA0B2A">
              <w:t xml:space="preserve"> в сфере культуры предусматривать мероприятия по совершенствованию оплаты труда работников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C324DE" w:rsidP="00BA0D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0B2A">
              <w:t xml:space="preserve">информация </w:t>
            </w:r>
            <w:r w:rsidR="00BA0D37">
              <w:t>У</w:t>
            </w:r>
            <w:r w:rsidR="001940AB" w:rsidRPr="00FA0B2A">
              <w:t>правле</w:t>
            </w:r>
            <w:r w:rsidR="00BA0D37">
              <w:t>ния по культуре, правовые акты А</w:t>
            </w:r>
            <w:r w:rsidR="001940AB" w:rsidRPr="00FA0B2A">
              <w:t xml:space="preserve">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1" w:rsidRDefault="00631821" w:rsidP="001E02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C324DE" w:rsidRDefault="001E0236" w:rsidP="001E02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Управление по культуре</w:t>
            </w:r>
            <w:r w:rsidR="001940AB" w:rsidRPr="00FA0B2A">
              <w:t xml:space="preserve"> </w:t>
            </w:r>
          </w:p>
          <w:p w:rsidR="001E0236" w:rsidRPr="00FA0B2A" w:rsidRDefault="001E0236" w:rsidP="001E02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E" w:rsidRPr="00FA0B2A" w:rsidRDefault="00BA0D37" w:rsidP="00C324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</w:tbl>
    <w:p w:rsidR="00E173C6" w:rsidRPr="00FA0B2A" w:rsidRDefault="00E173C6" w:rsidP="00C72FB2">
      <w:pPr>
        <w:tabs>
          <w:tab w:val="left" w:pos="946"/>
        </w:tabs>
        <w:jc w:val="both"/>
      </w:pPr>
    </w:p>
    <w:sectPr w:rsidR="00E173C6" w:rsidRPr="00FA0B2A" w:rsidSect="004A30EB">
      <w:headerReference w:type="even" r:id="rId14"/>
      <w:headerReference w:type="default" r:id="rId15"/>
      <w:pgSz w:w="11906" w:h="16838"/>
      <w:pgMar w:top="85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FD" w:rsidRDefault="00EB5AFD">
      <w:r>
        <w:separator/>
      </w:r>
    </w:p>
  </w:endnote>
  <w:endnote w:type="continuationSeparator" w:id="0">
    <w:p w:rsidR="00EB5AFD" w:rsidRDefault="00E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FD" w:rsidRDefault="00EB5AFD">
      <w:r>
        <w:separator/>
      </w:r>
    </w:p>
  </w:footnote>
  <w:footnote w:type="continuationSeparator" w:id="0">
    <w:p w:rsidR="00EB5AFD" w:rsidRDefault="00EB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71" w:rsidRDefault="00BD16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671" w:rsidRDefault="00BD1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71" w:rsidRDefault="00BD1671">
    <w:pPr>
      <w:pStyle w:val="a5"/>
      <w:framePr w:wrap="around" w:vAnchor="text" w:hAnchor="margin" w:xAlign="center" w:y="1"/>
      <w:rPr>
        <w:rStyle w:val="a7"/>
      </w:rPr>
    </w:pPr>
  </w:p>
  <w:p w:rsidR="00BD1671" w:rsidRDefault="00BD16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64C8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7594BFB"/>
    <w:multiLevelType w:val="hybridMultilevel"/>
    <w:tmpl w:val="E77E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0C6"/>
    <w:multiLevelType w:val="hybridMultilevel"/>
    <w:tmpl w:val="36886088"/>
    <w:lvl w:ilvl="0" w:tplc="73CC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E1207"/>
    <w:multiLevelType w:val="multilevel"/>
    <w:tmpl w:val="B4BE5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7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000000"/>
      </w:rPr>
    </w:lvl>
  </w:abstractNum>
  <w:abstractNum w:abstractNumId="5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D55BFF"/>
    <w:multiLevelType w:val="multilevel"/>
    <w:tmpl w:val="CBA04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8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10E3F"/>
    <w:rsid w:val="00017F56"/>
    <w:rsid w:val="00023C9C"/>
    <w:rsid w:val="000434CB"/>
    <w:rsid w:val="0005302E"/>
    <w:rsid w:val="0007286A"/>
    <w:rsid w:val="000765F0"/>
    <w:rsid w:val="00084959"/>
    <w:rsid w:val="000961BF"/>
    <w:rsid w:val="000A124D"/>
    <w:rsid w:val="000B2619"/>
    <w:rsid w:val="000B6D92"/>
    <w:rsid w:val="000C6BEC"/>
    <w:rsid w:val="000C6CAB"/>
    <w:rsid w:val="000D67AB"/>
    <w:rsid w:val="00111477"/>
    <w:rsid w:val="001216CA"/>
    <w:rsid w:val="00130E6B"/>
    <w:rsid w:val="00134D58"/>
    <w:rsid w:val="00141AE4"/>
    <w:rsid w:val="00157472"/>
    <w:rsid w:val="0017702E"/>
    <w:rsid w:val="00184228"/>
    <w:rsid w:val="00186BE9"/>
    <w:rsid w:val="0019141E"/>
    <w:rsid w:val="001940AB"/>
    <w:rsid w:val="001A116B"/>
    <w:rsid w:val="001B25BB"/>
    <w:rsid w:val="001B718D"/>
    <w:rsid w:val="001C4035"/>
    <w:rsid w:val="001E0236"/>
    <w:rsid w:val="001F3831"/>
    <w:rsid w:val="001F4787"/>
    <w:rsid w:val="00203190"/>
    <w:rsid w:val="002047FA"/>
    <w:rsid w:val="00211A09"/>
    <w:rsid w:val="00223935"/>
    <w:rsid w:val="002247A1"/>
    <w:rsid w:val="00232C7E"/>
    <w:rsid w:val="002359ED"/>
    <w:rsid w:val="0024460A"/>
    <w:rsid w:val="002610F4"/>
    <w:rsid w:val="00266D7C"/>
    <w:rsid w:val="00294C24"/>
    <w:rsid w:val="002977CF"/>
    <w:rsid w:val="002B0ABE"/>
    <w:rsid w:val="002B425E"/>
    <w:rsid w:val="002C5351"/>
    <w:rsid w:val="002E20EB"/>
    <w:rsid w:val="002E6D5A"/>
    <w:rsid w:val="002F0042"/>
    <w:rsid w:val="002F2D73"/>
    <w:rsid w:val="00307F7E"/>
    <w:rsid w:val="003141E5"/>
    <w:rsid w:val="00316B3A"/>
    <w:rsid w:val="00320215"/>
    <w:rsid w:val="003421EF"/>
    <w:rsid w:val="003424D0"/>
    <w:rsid w:val="00370071"/>
    <w:rsid w:val="0037062B"/>
    <w:rsid w:val="00375D6B"/>
    <w:rsid w:val="00376BF5"/>
    <w:rsid w:val="0038282D"/>
    <w:rsid w:val="00385AE7"/>
    <w:rsid w:val="0039284E"/>
    <w:rsid w:val="003B65A1"/>
    <w:rsid w:val="003C1B8F"/>
    <w:rsid w:val="003D36A6"/>
    <w:rsid w:val="003E3166"/>
    <w:rsid w:val="003E7F93"/>
    <w:rsid w:val="003F09A5"/>
    <w:rsid w:val="003F2371"/>
    <w:rsid w:val="00402B10"/>
    <w:rsid w:val="00405059"/>
    <w:rsid w:val="00406FF2"/>
    <w:rsid w:val="004138C3"/>
    <w:rsid w:val="004159C0"/>
    <w:rsid w:val="00417AC5"/>
    <w:rsid w:val="004376C2"/>
    <w:rsid w:val="00450BC5"/>
    <w:rsid w:val="00467522"/>
    <w:rsid w:val="00476AEB"/>
    <w:rsid w:val="004933A9"/>
    <w:rsid w:val="004A30EB"/>
    <w:rsid w:val="004C14B1"/>
    <w:rsid w:val="004D0CB2"/>
    <w:rsid w:val="004D3D65"/>
    <w:rsid w:val="004E1D38"/>
    <w:rsid w:val="004E5A3D"/>
    <w:rsid w:val="004F0C5A"/>
    <w:rsid w:val="00520FAE"/>
    <w:rsid w:val="00530C19"/>
    <w:rsid w:val="005347A6"/>
    <w:rsid w:val="0053601D"/>
    <w:rsid w:val="005468A0"/>
    <w:rsid w:val="00551885"/>
    <w:rsid w:val="00553D9C"/>
    <w:rsid w:val="00580E8D"/>
    <w:rsid w:val="00584EA6"/>
    <w:rsid w:val="00585672"/>
    <w:rsid w:val="005B1AFF"/>
    <w:rsid w:val="005B205D"/>
    <w:rsid w:val="005B509D"/>
    <w:rsid w:val="005B6030"/>
    <w:rsid w:val="005D1CC9"/>
    <w:rsid w:val="005F2BF9"/>
    <w:rsid w:val="00602EB6"/>
    <w:rsid w:val="00631821"/>
    <w:rsid w:val="00646BEB"/>
    <w:rsid w:val="00647B4D"/>
    <w:rsid w:val="006522A5"/>
    <w:rsid w:val="00655CFD"/>
    <w:rsid w:val="0066417D"/>
    <w:rsid w:val="00670494"/>
    <w:rsid w:val="00670D6C"/>
    <w:rsid w:val="00671483"/>
    <w:rsid w:val="006722F0"/>
    <w:rsid w:val="00676BDD"/>
    <w:rsid w:val="0069122D"/>
    <w:rsid w:val="006B4AED"/>
    <w:rsid w:val="006C19DA"/>
    <w:rsid w:val="006D5571"/>
    <w:rsid w:val="006E68BD"/>
    <w:rsid w:val="00737BFA"/>
    <w:rsid w:val="007A63FA"/>
    <w:rsid w:val="007C41F0"/>
    <w:rsid w:val="007D1985"/>
    <w:rsid w:val="007F61B1"/>
    <w:rsid w:val="0080117C"/>
    <w:rsid w:val="008374AD"/>
    <w:rsid w:val="00844B19"/>
    <w:rsid w:val="008565BF"/>
    <w:rsid w:val="0085679C"/>
    <w:rsid w:val="008573DD"/>
    <w:rsid w:val="008961C0"/>
    <w:rsid w:val="008A611F"/>
    <w:rsid w:val="008A730A"/>
    <w:rsid w:val="008A7BE2"/>
    <w:rsid w:val="008C4764"/>
    <w:rsid w:val="008D500B"/>
    <w:rsid w:val="008E5FC8"/>
    <w:rsid w:val="00932940"/>
    <w:rsid w:val="00956E94"/>
    <w:rsid w:val="00961AC3"/>
    <w:rsid w:val="00963C6D"/>
    <w:rsid w:val="00982BA0"/>
    <w:rsid w:val="009917FE"/>
    <w:rsid w:val="00993407"/>
    <w:rsid w:val="00993D4D"/>
    <w:rsid w:val="009A1CB4"/>
    <w:rsid w:val="009C5DB8"/>
    <w:rsid w:val="009D0A7F"/>
    <w:rsid w:val="009E54BD"/>
    <w:rsid w:val="009F713F"/>
    <w:rsid w:val="00A16817"/>
    <w:rsid w:val="00A533F8"/>
    <w:rsid w:val="00A66DD6"/>
    <w:rsid w:val="00A85823"/>
    <w:rsid w:val="00AB2CC6"/>
    <w:rsid w:val="00AE3956"/>
    <w:rsid w:val="00B1002A"/>
    <w:rsid w:val="00B34AAC"/>
    <w:rsid w:val="00B5122A"/>
    <w:rsid w:val="00B53031"/>
    <w:rsid w:val="00B538AE"/>
    <w:rsid w:val="00B921CC"/>
    <w:rsid w:val="00B97044"/>
    <w:rsid w:val="00BA0D37"/>
    <w:rsid w:val="00BA4278"/>
    <w:rsid w:val="00BB42A1"/>
    <w:rsid w:val="00BD1671"/>
    <w:rsid w:val="00BE54A1"/>
    <w:rsid w:val="00C0013F"/>
    <w:rsid w:val="00C15E6C"/>
    <w:rsid w:val="00C245BA"/>
    <w:rsid w:val="00C26720"/>
    <w:rsid w:val="00C324DE"/>
    <w:rsid w:val="00C32D81"/>
    <w:rsid w:val="00C47F3D"/>
    <w:rsid w:val="00C47F5E"/>
    <w:rsid w:val="00C64CC5"/>
    <w:rsid w:val="00C71FFB"/>
    <w:rsid w:val="00C72FB2"/>
    <w:rsid w:val="00C80704"/>
    <w:rsid w:val="00C92E30"/>
    <w:rsid w:val="00CA5F66"/>
    <w:rsid w:val="00CB0B5F"/>
    <w:rsid w:val="00CB1115"/>
    <w:rsid w:val="00CD4ABD"/>
    <w:rsid w:val="00CE1E93"/>
    <w:rsid w:val="00CE3E6E"/>
    <w:rsid w:val="00CE7700"/>
    <w:rsid w:val="00D05ECB"/>
    <w:rsid w:val="00D16F88"/>
    <w:rsid w:val="00D26BFA"/>
    <w:rsid w:val="00D35B4E"/>
    <w:rsid w:val="00D36235"/>
    <w:rsid w:val="00D40A35"/>
    <w:rsid w:val="00D41106"/>
    <w:rsid w:val="00D52EFB"/>
    <w:rsid w:val="00D863EC"/>
    <w:rsid w:val="00DB75E9"/>
    <w:rsid w:val="00DC1F13"/>
    <w:rsid w:val="00DC3726"/>
    <w:rsid w:val="00DD3012"/>
    <w:rsid w:val="00DE5355"/>
    <w:rsid w:val="00E121EB"/>
    <w:rsid w:val="00E173C6"/>
    <w:rsid w:val="00E2371C"/>
    <w:rsid w:val="00E2738F"/>
    <w:rsid w:val="00E30B07"/>
    <w:rsid w:val="00E3426C"/>
    <w:rsid w:val="00E606B1"/>
    <w:rsid w:val="00E625E8"/>
    <w:rsid w:val="00E72026"/>
    <w:rsid w:val="00E751E6"/>
    <w:rsid w:val="00EB4671"/>
    <w:rsid w:val="00EB5AFD"/>
    <w:rsid w:val="00ED4914"/>
    <w:rsid w:val="00EE3114"/>
    <w:rsid w:val="00EF5DC8"/>
    <w:rsid w:val="00F0060B"/>
    <w:rsid w:val="00F058F2"/>
    <w:rsid w:val="00F210E5"/>
    <w:rsid w:val="00F23C19"/>
    <w:rsid w:val="00F53B65"/>
    <w:rsid w:val="00F552C8"/>
    <w:rsid w:val="00F70C41"/>
    <w:rsid w:val="00F74E1A"/>
    <w:rsid w:val="00F80B49"/>
    <w:rsid w:val="00F8192B"/>
    <w:rsid w:val="00F85BC1"/>
    <w:rsid w:val="00F86E6B"/>
    <w:rsid w:val="00FA0B2A"/>
    <w:rsid w:val="00FA15AE"/>
    <w:rsid w:val="00FA5BAF"/>
    <w:rsid w:val="00FB392A"/>
    <w:rsid w:val="00FB4E69"/>
    <w:rsid w:val="00FC35AD"/>
    <w:rsid w:val="00FC6B4A"/>
    <w:rsid w:val="00FD5E78"/>
    <w:rsid w:val="00FE2DE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3E6E"/>
    <w:pPr>
      <w:keepNext/>
      <w:spacing w:after="200" w:line="360" w:lineRule="auto"/>
      <w:ind w:right="-85"/>
      <w:jc w:val="center"/>
      <w:outlineLvl w:val="0"/>
    </w:pPr>
    <w:rPr>
      <w:sz w:val="28"/>
      <w:szCs w:val="22"/>
      <w:lang w:val="x-none" w:eastAsia="x-none"/>
    </w:rPr>
  </w:style>
  <w:style w:type="paragraph" w:styleId="20">
    <w:name w:val="heading 2"/>
    <w:basedOn w:val="a"/>
    <w:next w:val="a"/>
    <w:link w:val="21"/>
    <w:qFormat/>
    <w:rsid w:val="00CE3E6E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3E6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1"/>
    <w:uiPriority w:val="99"/>
    <w:rsid w:val="00CE3E6E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Основной текст Знак"/>
    <w:rsid w:val="00CE3E6E"/>
    <w:rPr>
      <w:sz w:val="24"/>
      <w:szCs w:val="24"/>
    </w:rPr>
  </w:style>
  <w:style w:type="paragraph" w:styleId="ab">
    <w:name w:val="No Spacing"/>
    <w:uiPriority w:val="1"/>
    <w:qFormat/>
    <w:rsid w:val="00CE3E6E"/>
    <w:rPr>
      <w:rFonts w:ascii="Calibri" w:hAnsi="Calibri"/>
      <w:sz w:val="22"/>
      <w:szCs w:val="22"/>
    </w:rPr>
  </w:style>
  <w:style w:type="character" w:styleId="ac">
    <w:name w:val="Hyperlink"/>
    <w:rsid w:val="00CE3E6E"/>
    <w:rPr>
      <w:color w:val="0000FF"/>
      <w:u w:val="single"/>
    </w:rPr>
  </w:style>
  <w:style w:type="character" w:customStyle="1" w:styleId="11">
    <w:name w:val="Основной текст Знак1"/>
    <w:link w:val="a9"/>
    <w:uiPriority w:val="99"/>
    <w:rsid w:val="00CE3E6E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E3E6E"/>
    <w:rPr>
      <w:sz w:val="28"/>
      <w:szCs w:val="22"/>
    </w:rPr>
  </w:style>
  <w:style w:type="character" w:customStyle="1" w:styleId="21">
    <w:name w:val="Заголовок 2 Знак"/>
    <w:link w:val="20"/>
    <w:rsid w:val="00CE3E6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E3E6E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 Знак"/>
    <w:basedOn w:val="a"/>
    <w:rsid w:val="00CE3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qFormat/>
    <w:rsid w:val="00CE3E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CE3E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CE3E6E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CE3E6E"/>
    <w:rPr>
      <w:sz w:val="28"/>
    </w:rPr>
  </w:style>
  <w:style w:type="paragraph" w:styleId="af0">
    <w:name w:val="Normal (Web)"/>
    <w:basedOn w:val="a"/>
    <w:rsid w:val="00CE3E6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E3E6E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E3E6E"/>
    <w:rPr>
      <w:rFonts w:ascii="Calibri" w:hAnsi="Calibri"/>
      <w:sz w:val="16"/>
      <w:szCs w:val="16"/>
    </w:rPr>
  </w:style>
  <w:style w:type="paragraph" w:customStyle="1" w:styleId="p3">
    <w:name w:val="p3"/>
    <w:basedOn w:val="a"/>
    <w:rsid w:val="00CE3E6E"/>
    <w:pPr>
      <w:ind w:firstLine="600"/>
      <w:jc w:val="both"/>
    </w:pPr>
    <w:rPr>
      <w:rFonts w:ascii="Tahoma" w:hAnsi="Tahoma" w:cs="Tahoma"/>
      <w:sz w:val="18"/>
      <w:szCs w:val="18"/>
    </w:rPr>
  </w:style>
  <w:style w:type="paragraph" w:styleId="af1">
    <w:name w:val="List"/>
    <w:basedOn w:val="a"/>
    <w:rsid w:val="00CE3E6E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24">
    <w:name w:val="List 2"/>
    <w:basedOn w:val="a"/>
    <w:rsid w:val="00CE3E6E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2">
    <w:name w:val="List Bullet 2"/>
    <w:basedOn w:val="a"/>
    <w:rsid w:val="00CE3E6E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25">
    <w:name w:val="List Continue 2"/>
    <w:basedOn w:val="a"/>
    <w:rsid w:val="00CE3E6E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CE3E6E"/>
    <w:pPr>
      <w:spacing w:before="240" w:after="60" w:line="276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CE3E6E"/>
    <w:rPr>
      <w:rFonts w:ascii="Arial" w:hAnsi="Arial" w:cs="Arial"/>
      <w:b/>
      <w:bCs/>
      <w:kern w:val="28"/>
      <w:sz w:val="32"/>
      <w:szCs w:val="32"/>
    </w:rPr>
  </w:style>
  <w:style w:type="paragraph" w:styleId="af4">
    <w:name w:val="Body Text Indent"/>
    <w:basedOn w:val="a"/>
    <w:link w:val="af5"/>
    <w:rsid w:val="00CE3E6E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CE3E6E"/>
    <w:rPr>
      <w:rFonts w:ascii="Calibri" w:hAnsi="Calibri"/>
      <w:sz w:val="22"/>
      <w:szCs w:val="22"/>
    </w:rPr>
  </w:style>
  <w:style w:type="paragraph" w:styleId="af6">
    <w:name w:val="Normal Indent"/>
    <w:basedOn w:val="a"/>
    <w:rsid w:val="00CE3E6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Body Text First Indent"/>
    <w:basedOn w:val="a9"/>
    <w:link w:val="af8"/>
    <w:rsid w:val="00CE3E6E"/>
    <w:pPr>
      <w:ind w:firstLine="210"/>
    </w:pPr>
  </w:style>
  <w:style w:type="character" w:customStyle="1" w:styleId="af8">
    <w:name w:val="Красная строка Знак"/>
    <w:basedOn w:val="11"/>
    <w:link w:val="af7"/>
    <w:rsid w:val="00CE3E6E"/>
    <w:rPr>
      <w:rFonts w:ascii="Calibri" w:hAnsi="Calibri"/>
      <w:sz w:val="22"/>
      <w:szCs w:val="22"/>
    </w:rPr>
  </w:style>
  <w:style w:type="paragraph" w:styleId="26">
    <w:name w:val="Body Text First Indent 2"/>
    <w:basedOn w:val="af4"/>
    <w:link w:val="27"/>
    <w:rsid w:val="00CE3E6E"/>
    <w:pPr>
      <w:ind w:firstLine="210"/>
    </w:pPr>
  </w:style>
  <w:style w:type="character" w:customStyle="1" w:styleId="27">
    <w:name w:val="Красная строка 2 Знак"/>
    <w:basedOn w:val="af5"/>
    <w:link w:val="26"/>
    <w:rsid w:val="00CE3E6E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rsid w:val="00CE3E6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E3E6E"/>
    <w:rPr>
      <w:sz w:val="24"/>
      <w:szCs w:val="24"/>
    </w:rPr>
  </w:style>
  <w:style w:type="character" w:customStyle="1" w:styleId="Exact">
    <w:name w:val="Основной текст Exact"/>
    <w:uiPriority w:val="99"/>
    <w:rsid w:val="00CE3E6E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9pt">
    <w:name w:val="Основной текст + 9 pt"/>
    <w:aliases w:val="Курсив,Интервал 0 pt Exact,Подпись к таблице + 14 pt"/>
    <w:uiPriority w:val="99"/>
    <w:rsid w:val="00CE3E6E"/>
    <w:rPr>
      <w:rFonts w:ascii="Times New Roman" w:hAnsi="Times New Roman" w:cs="Times New Roman"/>
      <w:i/>
      <w:iCs/>
      <w:noProof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0">
    <w:name w:val="Основной текст + 11"/>
    <w:aliases w:val="5 pt1"/>
    <w:uiPriority w:val="99"/>
    <w:rsid w:val="00CE3E6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link w:val="12"/>
    <w:uiPriority w:val="99"/>
    <w:rsid w:val="00CE3E6E"/>
    <w:rPr>
      <w:sz w:val="25"/>
      <w:szCs w:val="25"/>
      <w:shd w:val="clear" w:color="auto" w:fill="FFFFFF"/>
    </w:rPr>
  </w:style>
  <w:style w:type="character" w:customStyle="1" w:styleId="afa">
    <w:name w:val="Подпись к таблице"/>
    <w:uiPriority w:val="99"/>
    <w:rsid w:val="00CE3E6E"/>
    <w:rPr>
      <w:sz w:val="25"/>
      <w:szCs w:val="25"/>
      <w:u w:val="single"/>
      <w:shd w:val="clear" w:color="auto" w:fill="FFFFFF"/>
    </w:rPr>
  </w:style>
  <w:style w:type="paragraph" w:customStyle="1" w:styleId="12">
    <w:name w:val="Подпись к таблице1"/>
    <w:basedOn w:val="a"/>
    <w:link w:val="af9"/>
    <w:uiPriority w:val="99"/>
    <w:rsid w:val="00CE3E6E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3">
    <w:name w:val="Подпись к таблице3"/>
    <w:uiPriority w:val="99"/>
    <w:rsid w:val="00CE3E6E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28">
    <w:name w:val="Подпись к таблице2"/>
    <w:uiPriority w:val="99"/>
    <w:rsid w:val="00CE3E6E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7pt">
    <w:name w:val="Основной текст + 7 pt"/>
    <w:aliases w:val="Интервал -1 pt,Масштаб 150%"/>
    <w:uiPriority w:val="99"/>
    <w:rsid w:val="00CE3E6E"/>
    <w:rPr>
      <w:rFonts w:ascii="Times New Roman" w:hAnsi="Times New Roman" w:cs="Times New Roman"/>
      <w:spacing w:val="-20"/>
      <w:w w:val="150"/>
      <w:sz w:val="14"/>
      <w:szCs w:val="14"/>
      <w:u w:val="none"/>
    </w:rPr>
  </w:style>
  <w:style w:type="character" w:customStyle="1" w:styleId="0ptExact">
    <w:name w:val="Основной текст + Интервал 0 pt Exact"/>
    <w:uiPriority w:val="99"/>
    <w:rsid w:val="00CE3E6E"/>
    <w:rPr>
      <w:rFonts w:ascii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12pt">
    <w:name w:val="Основной текст + 12 pt"/>
    <w:uiPriority w:val="99"/>
    <w:rsid w:val="00CE3E6E"/>
    <w:rPr>
      <w:rFonts w:ascii="Times New Roman" w:hAnsi="Times New Roman" w:cs="Times New Roman"/>
      <w:sz w:val="24"/>
      <w:szCs w:val="24"/>
      <w:u w:val="none"/>
    </w:rPr>
  </w:style>
  <w:style w:type="character" w:customStyle="1" w:styleId="12pt1">
    <w:name w:val="Основной текст + 12 pt1"/>
    <w:uiPriority w:val="99"/>
    <w:rsid w:val="00CE3E6E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3E6E"/>
    <w:pPr>
      <w:keepNext/>
      <w:spacing w:after="200" w:line="360" w:lineRule="auto"/>
      <w:ind w:right="-85"/>
      <w:jc w:val="center"/>
      <w:outlineLvl w:val="0"/>
    </w:pPr>
    <w:rPr>
      <w:sz w:val="28"/>
      <w:szCs w:val="22"/>
      <w:lang w:val="x-none" w:eastAsia="x-none"/>
    </w:rPr>
  </w:style>
  <w:style w:type="paragraph" w:styleId="20">
    <w:name w:val="heading 2"/>
    <w:basedOn w:val="a"/>
    <w:next w:val="a"/>
    <w:link w:val="21"/>
    <w:qFormat/>
    <w:rsid w:val="00CE3E6E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3E6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1"/>
    <w:uiPriority w:val="99"/>
    <w:rsid w:val="00CE3E6E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Основной текст Знак"/>
    <w:rsid w:val="00CE3E6E"/>
    <w:rPr>
      <w:sz w:val="24"/>
      <w:szCs w:val="24"/>
    </w:rPr>
  </w:style>
  <w:style w:type="paragraph" w:styleId="ab">
    <w:name w:val="No Spacing"/>
    <w:uiPriority w:val="1"/>
    <w:qFormat/>
    <w:rsid w:val="00CE3E6E"/>
    <w:rPr>
      <w:rFonts w:ascii="Calibri" w:hAnsi="Calibri"/>
      <w:sz w:val="22"/>
      <w:szCs w:val="22"/>
    </w:rPr>
  </w:style>
  <w:style w:type="character" w:styleId="ac">
    <w:name w:val="Hyperlink"/>
    <w:rsid w:val="00CE3E6E"/>
    <w:rPr>
      <w:color w:val="0000FF"/>
      <w:u w:val="single"/>
    </w:rPr>
  </w:style>
  <w:style w:type="character" w:customStyle="1" w:styleId="11">
    <w:name w:val="Основной текст Знак1"/>
    <w:link w:val="a9"/>
    <w:uiPriority w:val="99"/>
    <w:rsid w:val="00CE3E6E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E3E6E"/>
    <w:rPr>
      <w:sz w:val="28"/>
      <w:szCs w:val="22"/>
    </w:rPr>
  </w:style>
  <w:style w:type="character" w:customStyle="1" w:styleId="21">
    <w:name w:val="Заголовок 2 Знак"/>
    <w:link w:val="20"/>
    <w:rsid w:val="00CE3E6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E3E6E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 Знак"/>
    <w:basedOn w:val="a"/>
    <w:rsid w:val="00CE3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qFormat/>
    <w:rsid w:val="00CE3E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CE3E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CE3E6E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CE3E6E"/>
    <w:rPr>
      <w:sz w:val="28"/>
    </w:rPr>
  </w:style>
  <w:style w:type="paragraph" w:styleId="af0">
    <w:name w:val="Normal (Web)"/>
    <w:basedOn w:val="a"/>
    <w:rsid w:val="00CE3E6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E3E6E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E3E6E"/>
    <w:rPr>
      <w:rFonts w:ascii="Calibri" w:hAnsi="Calibri"/>
      <w:sz w:val="16"/>
      <w:szCs w:val="16"/>
    </w:rPr>
  </w:style>
  <w:style w:type="paragraph" w:customStyle="1" w:styleId="p3">
    <w:name w:val="p3"/>
    <w:basedOn w:val="a"/>
    <w:rsid w:val="00CE3E6E"/>
    <w:pPr>
      <w:ind w:firstLine="600"/>
      <w:jc w:val="both"/>
    </w:pPr>
    <w:rPr>
      <w:rFonts w:ascii="Tahoma" w:hAnsi="Tahoma" w:cs="Tahoma"/>
      <w:sz w:val="18"/>
      <w:szCs w:val="18"/>
    </w:rPr>
  </w:style>
  <w:style w:type="paragraph" w:styleId="af1">
    <w:name w:val="List"/>
    <w:basedOn w:val="a"/>
    <w:rsid w:val="00CE3E6E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24">
    <w:name w:val="List 2"/>
    <w:basedOn w:val="a"/>
    <w:rsid w:val="00CE3E6E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2">
    <w:name w:val="List Bullet 2"/>
    <w:basedOn w:val="a"/>
    <w:rsid w:val="00CE3E6E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25">
    <w:name w:val="List Continue 2"/>
    <w:basedOn w:val="a"/>
    <w:rsid w:val="00CE3E6E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CE3E6E"/>
    <w:pPr>
      <w:spacing w:before="240" w:after="60" w:line="276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CE3E6E"/>
    <w:rPr>
      <w:rFonts w:ascii="Arial" w:hAnsi="Arial" w:cs="Arial"/>
      <w:b/>
      <w:bCs/>
      <w:kern w:val="28"/>
      <w:sz w:val="32"/>
      <w:szCs w:val="32"/>
    </w:rPr>
  </w:style>
  <w:style w:type="paragraph" w:styleId="af4">
    <w:name w:val="Body Text Indent"/>
    <w:basedOn w:val="a"/>
    <w:link w:val="af5"/>
    <w:rsid w:val="00CE3E6E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CE3E6E"/>
    <w:rPr>
      <w:rFonts w:ascii="Calibri" w:hAnsi="Calibri"/>
      <w:sz w:val="22"/>
      <w:szCs w:val="22"/>
    </w:rPr>
  </w:style>
  <w:style w:type="paragraph" w:styleId="af6">
    <w:name w:val="Normal Indent"/>
    <w:basedOn w:val="a"/>
    <w:rsid w:val="00CE3E6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Body Text First Indent"/>
    <w:basedOn w:val="a9"/>
    <w:link w:val="af8"/>
    <w:rsid w:val="00CE3E6E"/>
    <w:pPr>
      <w:ind w:firstLine="210"/>
    </w:pPr>
  </w:style>
  <w:style w:type="character" w:customStyle="1" w:styleId="af8">
    <w:name w:val="Красная строка Знак"/>
    <w:basedOn w:val="11"/>
    <w:link w:val="af7"/>
    <w:rsid w:val="00CE3E6E"/>
    <w:rPr>
      <w:rFonts w:ascii="Calibri" w:hAnsi="Calibri"/>
      <w:sz w:val="22"/>
      <w:szCs w:val="22"/>
    </w:rPr>
  </w:style>
  <w:style w:type="paragraph" w:styleId="26">
    <w:name w:val="Body Text First Indent 2"/>
    <w:basedOn w:val="af4"/>
    <w:link w:val="27"/>
    <w:rsid w:val="00CE3E6E"/>
    <w:pPr>
      <w:ind w:firstLine="210"/>
    </w:pPr>
  </w:style>
  <w:style w:type="character" w:customStyle="1" w:styleId="27">
    <w:name w:val="Красная строка 2 Знак"/>
    <w:basedOn w:val="af5"/>
    <w:link w:val="26"/>
    <w:rsid w:val="00CE3E6E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rsid w:val="00CE3E6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E3E6E"/>
    <w:rPr>
      <w:sz w:val="24"/>
      <w:szCs w:val="24"/>
    </w:rPr>
  </w:style>
  <w:style w:type="character" w:customStyle="1" w:styleId="Exact">
    <w:name w:val="Основной текст Exact"/>
    <w:uiPriority w:val="99"/>
    <w:rsid w:val="00CE3E6E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9pt">
    <w:name w:val="Основной текст + 9 pt"/>
    <w:aliases w:val="Курсив,Интервал 0 pt Exact,Подпись к таблице + 14 pt"/>
    <w:uiPriority w:val="99"/>
    <w:rsid w:val="00CE3E6E"/>
    <w:rPr>
      <w:rFonts w:ascii="Times New Roman" w:hAnsi="Times New Roman" w:cs="Times New Roman"/>
      <w:i/>
      <w:iCs/>
      <w:noProof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0">
    <w:name w:val="Основной текст + 11"/>
    <w:aliases w:val="5 pt1"/>
    <w:uiPriority w:val="99"/>
    <w:rsid w:val="00CE3E6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link w:val="12"/>
    <w:uiPriority w:val="99"/>
    <w:rsid w:val="00CE3E6E"/>
    <w:rPr>
      <w:sz w:val="25"/>
      <w:szCs w:val="25"/>
      <w:shd w:val="clear" w:color="auto" w:fill="FFFFFF"/>
    </w:rPr>
  </w:style>
  <w:style w:type="character" w:customStyle="1" w:styleId="afa">
    <w:name w:val="Подпись к таблице"/>
    <w:uiPriority w:val="99"/>
    <w:rsid w:val="00CE3E6E"/>
    <w:rPr>
      <w:sz w:val="25"/>
      <w:szCs w:val="25"/>
      <w:u w:val="single"/>
      <w:shd w:val="clear" w:color="auto" w:fill="FFFFFF"/>
    </w:rPr>
  </w:style>
  <w:style w:type="paragraph" w:customStyle="1" w:styleId="12">
    <w:name w:val="Подпись к таблице1"/>
    <w:basedOn w:val="a"/>
    <w:link w:val="af9"/>
    <w:uiPriority w:val="99"/>
    <w:rsid w:val="00CE3E6E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3">
    <w:name w:val="Подпись к таблице3"/>
    <w:uiPriority w:val="99"/>
    <w:rsid w:val="00CE3E6E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28">
    <w:name w:val="Подпись к таблице2"/>
    <w:uiPriority w:val="99"/>
    <w:rsid w:val="00CE3E6E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7pt">
    <w:name w:val="Основной текст + 7 pt"/>
    <w:aliases w:val="Интервал -1 pt,Масштаб 150%"/>
    <w:uiPriority w:val="99"/>
    <w:rsid w:val="00CE3E6E"/>
    <w:rPr>
      <w:rFonts w:ascii="Times New Roman" w:hAnsi="Times New Roman" w:cs="Times New Roman"/>
      <w:spacing w:val="-20"/>
      <w:w w:val="150"/>
      <w:sz w:val="14"/>
      <w:szCs w:val="14"/>
      <w:u w:val="none"/>
    </w:rPr>
  </w:style>
  <w:style w:type="character" w:customStyle="1" w:styleId="0ptExact">
    <w:name w:val="Основной текст + Интервал 0 pt Exact"/>
    <w:uiPriority w:val="99"/>
    <w:rsid w:val="00CE3E6E"/>
    <w:rPr>
      <w:rFonts w:ascii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12pt">
    <w:name w:val="Основной текст + 12 pt"/>
    <w:uiPriority w:val="99"/>
    <w:rsid w:val="00CE3E6E"/>
    <w:rPr>
      <w:rFonts w:ascii="Times New Roman" w:hAnsi="Times New Roman" w:cs="Times New Roman"/>
      <w:sz w:val="24"/>
      <w:szCs w:val="24"/>
      <w:u w:val="none"/>
    </w:rPr>
  </w:style>
  <w:style w:type="character" w:customStyle="1" w:styleId="12pt1">
    <w:name w:val="Основной текст + 12 pt1"/>
    <w:uiPriority w:val="99"/>
    <w:rsid w:val="00CE3E6E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63BBEAB814139C321F951B10834C0CC3DAE145997B729DC7FBE63933G5M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63BBEAB814139C321F951B10834C0CC3DBE0459C7C729DC7FBE6393354CDE060C29218EE755F83G2M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63BBEAB814139C321F951B10834C0CC3DAE145997B729DC7FBE63933G5M4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F262-A26E-4503-89EE-2863B3A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25630</CharactersWithSpaces>
  <SharedDoc>false</SharedDoc>
  <HLinks>
    <vt:vector size="18" baseType="variant"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consultantplus://offline/ref=4863BBEAB814139C321F951B10834C0CC3DAE145997B729DC7FBE63933G5M4K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consultantplus://offline/ref=4863BBEAB814139C321F951B10834C0CC3DBE0459C7C729DC7FBE6393354CDE060C29218EE755F83G2MAK</vt:lpwstr>
      </vt:variant>
      <vt:variant>
        <vt:lpwstr/>
      </vt:variant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consultantplus://offline/ref=4863BBEAB814139C321F951B10834C0CC3DAE145997B729DC7FBE63933G5M4K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2014-08-05T03:21:00Z</cp:lastPrinted>
  <dcterms:created xsi:type="dcterms:W3CDTF">2014-09-03T08:48:00Z</dcterms:created>
  <dcterms:modified xsi:type="dcterms:W3CDTF">2014-09-03T08:48:00Z</dcterms:modified>
</cp:coreProperties>
</file>