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99" w:rsidRDefault="00C24699" w:rsidP="00C2469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0321523" r:id="rId9"/>
        </w:object>
      </w:r>
    </w:p>
    <w:p w:rsidR="00C24699" w:rsidRDefault="00C24699" w:rsidP="00C24699">
      <w:pPr>
        <w:jc w:val="center"/>
        <w:rPr>
          <w:rFonts w:eastAsiaTheme="minorHAnsi"/>
          <w:sz w:val="24"/>
          <w:szCs w:val="24"/>
          <w:lang w:val="ru-RU"/>
        </w:rPr>
      </w:pPr>
    </w:p>
    <w:p w:rsidR="00C24699" w:rsidRPr="00C24699" w:rsidRDefault="00C24699" w:rsidP="00C24699">
      <w:pPr>
        <w:jc w:val="center"/>
        <w:rPr>
          <w:b/>
          <w:bCs/>
          <w:iCs/>
          <w:sz w:val="32"/>
          <w:lang w:val="ru-RU" w:eastAsia="ar-SA"/>
        </w:rPr>
      </w:pPr>
      <w:r w:rsidRPr="00C24699">
        <w:rPr>
          <w:b/>
          <w:sz w:val="32"/>
          <w:lang w:val="ru-RU"/>
        </w:rPr>
        <w:t xml:space="preserve">АДМИНИСТРАЦИЯ </w:t>
      </w:r>
    </w:p>
    <w:p w:rsidR="00C24699" w:rsidRPr="00C24699" w:rsidRDefault="00C24699" w:rsidP="00C24699">
      <w:pPr>
        <w:jc w:val="center"/>
        <w:rPr>
          <w:b/>
          <w:sz w:val="32"/>
          <w:lang w:val="ru-RU" w:eastAsia="en-US"/>
        </w:rPr>
      </w:pPr>
      <w:r w:rsidRPr="00C24699">
        <w:rPr>
          <w:b/>
          <w:sz w:val="32"/>
          <w:lang w:val="ru-RU"/>
        </w:rPr>
        <w:t xml:space="preserve"> ГОРОДСКОГО ПОСЕЛЕНИЯ ЛЯНТОР</w:t>
      </w:r>
    </w:p>
    <w:p w:rsidR="00C24699" w:rsidRPr="00C24699" w:rsidRDefault="00C24699" w:rsidP="00C24699">
      <w:pPr>
        <w:jc w:val="center"/>
        <w:rPr>
          <w:b/>
          <w:sz w:val="32"/>
          <w:szCs w:val="22"/>
          <w:lang w:val="ru-RU"/>
        </w:rPr>
      </w:pPr>
      <w:r w:rsidRPr="00C24699">
        <w:rPr>
          <w:b/>
          <w:sz w:val="32"/>
          <w:lang w:val="ru-RU"/>
        </w:rPr>
        <w:t>Сургутского района</w:t>
      </w:r>
    </w:p>
    <w:p w:rsidR="00C24699" w:rsidRPr="00C24699" w:rsidRDefault="00C24699" w:rsidP="00C24699">
      <w:pPr>
        <w:jc w:val="center"/>
        <w:rPr>
          <w:b/>
          <w:sz w:val="32"/>
          <w:lang w:val="ru-RU" w:eastAsia="ar-SA"/>
        </w:rPr>
      </w:pPr>
      <w:r w:rsidRPr="00C24699">
        <w:rPr>
          <w:b/>
          <w:sz w:val="32"/>
          <w:lang w:val="ru-RU"/>
        </w:rPr>
        <w:t>Ханты-Мансийского автономного округа-Югры</w:t>
      </w:r>
    </w:p>
    <w:p w:rsidR="00C24699" w:rsidRPr="00C24699" w:rsidRDefault="00C24699" w:rsidP="00C24699">
      <w:pPr>
        <w:jc w:val="center"/>
        <w:rPr>
          <w:b/>
          <w:sz w:val="32"/>
          <w:szCs w:val="24"/>
          <w:lang w:val="ru-RU"/>
        </w:rPr>
      </w:pPr>
    </w:p>
    <w:p w:rsidR="00C24699" w:rsidRPr="00C24699" w:rsidRDefault="00C24699" w:rsidP="00C24699">
      <w:pPr>
        <w:jc w:val="center"/>
        <w:rPr>
          <w:sz w:val="22"/>
          <w:szCs w:val="22"/>
          <w:lang w:val="ru-RU" w:eastAsia="en-US"/>
        </w:rPr>
      </w:pPr>
      <w:r w:rsidRPr="00C24699">
        <w:rPr>
          <w:b/>
          <w:sz w:val="32"/>
          <w:szCs w:val="32"/>
          <w:lang w:val="ru-RU"/>
        </w:rPr>
        <w:t>ПОСТАНОВЛЕНИЕ</w:t>
      </w:r>
    </w:p>
    <w:p w:rsidR="00C24699" w:rsidRPr="00C24699" w:rsidRDefault="00C24699" w:rsidP="00C24699">
      <w:pPr>
        <w:rPr>
          <w:szCs w:val="24"/>
          <w:lang w:val="ru-RU"/>
        </w:rPr>
      </w:pPr>
    </w:p>
    <w:p w:rsidR="00C24699" w:rsidRPr="003F015F" w:rsidRDefault="00C24699" w:rsidP="00C24699">
      <w:pPr>
        <w:rPr>
          <w:sz w:val="28"/>
          <w:szCs w:val="28"/>
          <w:lang w:val="ru-RU" w:eastAsia="ar-SA"/>
        </w:rPr>
      </w:pPr>
      <w:r w:rsidRPr="003F015F">
        <w:rPr>
          <w:sz w:val="28"/>
          <w:szCs w:val="28"/>
          <w:u w:val="single"/>
          <w:lang w:val="ru-RU"/>
        </w:rPr>
        <w:t>«</w:t>
      </w:r>
      <w:r w:rsidR="003F015F">
        <w:rPr>
          <w:sz w:val="28"/>
          <w:szCs w:val="28"/>
          <w:u w:val="single"/>
          <w:lang w:val="ru-RU"/>
        </w:rPr>
        <w:t>31</w:t>
      </w:r>
      <w:r w:rsidRPr="003F015F">
        <w:rPr>
          <w:sz w:val="28"/>
          <w:szCs w:val="28"/>
          <w:u w:val="single"/>
          <w:lang w:val="ru-RU"/>
        </w:rPr>
        <w:t>» марта  2022 года</w:t>
      </w:r>
      <w:r w:rsidRPr="003F015F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F015F">
        <w:rPr>
          <w:sz w:val="28"/>
          <w:szCs w:val="28"/>
          <w:lang w:val="ru-RU"/>
        </w:rPr>
        <w:t xml:space="preserve">     </w:t>
      </w:r>
      <w:r w:rsidRPr="003F015F">
        <w:rPr>
          <w:sz w:val="28"/>
          <w:szCs w:val="28"/>
          <w:lang w:val="ru-RU"/>
        </w:rPr>
        <w:t xml:space="preserve">     №   </w:t>
      </w:r>
      <w:r w:rsidR="003F015F">
        <w:rPr>
          <w:sz w:val="28"/>
          <w:szCs w:val="28"/>
          <w:lang w:val="ru-RU"/>
        </w:rPr>
        <w:t>252</w:t>
      </w:r>
      <w:r w:rsidRPr="003F015F">
        <w:rPr>
          <w:sz w:val="28"/>
          <w:szCs w:val="28"/>
          <w:lang w:val="ru-RU"/>
        </w:rPr>
        <w:t xml:space="preserve"> </w:t>
      </w:r>
    </w:p>
    <w:p w:rsidR="007E5973" w:rsidRPr="003F015F" w:rsidRDefault="00C24699" w:rsidP="007E5973">
      <w:pPr>
        <w:rPr>
          <w:sz w:val="28"/>
          <w:szCs w:val="28"/>
          <w:lang w:val="ru-RU" w:eastAsia="en-US"/>
        </w:rPr>
      </w:pPr>
      <w:r w:rsidRPr="003F015F">
        <w:rPr>
          <w:sz w:val="28"/>
          <w:szCs w:val="28"/>
          <w:lang w:val="ru-RU"/>
        </w:rPr>
        <w:t xml:space="preserve">            г. Лянтор</w:t>
      </w: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2E2494" w:rsidRPr="00ED56F6" w:rsidRDefault="002E2494" w:rsidP="002E2494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решениями Совета депутатов городского поселения Лянтор от 28.12.2020 № 146 «О бюджете городского поселения Лянтор на 2021 год и на плановый период 2022-2023 годов», от 28.12.2021 № 231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2022 год и на плановый период 2023 и 2024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2E2494" w:rsidRPr="00ED56F6" w:rsidRDefault="002E2494" w:rsidP="002E2494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 xml:space="preserve">лении Лянтор в 2021-2025 годах» (в редакции от 30.12.2021 № 1182),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2E2494" w:rsidRPr="00ED56F6" w:rsidRDefault="002E2494" w:rsidP="002E2494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2E2494" w:rsidRPr="00ED56F6" w:rsidRDefault="002E2494" w:rsidP="002E2494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2E2494" w:rsidRPr="00ED56F6" w:rsidRDefault="002E2494" w:rsidP="002E2494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Контроль за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7E5973" w:rsidRDefault="007E5973" w:rsidP="007E5973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Глав</w:t>
      </w:r>
      <w:r w:rsidR="00B91B1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B91B1D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С.</w:t>
      </w:r>
      <w:r w:rsidR="00B91B1D">
        <w:rPr>
          <w:sz w:val="28"/>
          <w:szCs w:val="28"/>
          <w:lang w:val="ru-RU"/>
        </w:rPr>
        <w:t>А.Махиня</w:t>
      </w:r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12046E" w:rsidRDefault="0012046E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AA7C14" w:rsidRDefault="00AA7C14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городского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3F015F">
        <w:rPr>
          <w:rFonts w:eastAsiaTheme="minorEastAsia"/>
          <w:sz w:val="22"/>
          <w:szCs w:val="22"/>
          <w:lang w:val="ru-RU"/>
        </w:rPr>
        <w:t>31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C24699">
        <w:rPr>
          <w:rFonts w:eastAsiaTheme="minorEastAsia"/>
          <w:sz w:val="22"/>
          <w:szCs w:val="22"/>
          <w:lang w:val="ru-RU"/>
        </w:rPr>
        <w:t xml:space="preserve"> марта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E34630">
        <w:rPr>
          <w:rFonts w:eastAsiaTheme="minorEastAsia"/>
          <w:sz w:val="22"/>
          <w:szCs w:val="22"/>
          <w:lang w:val="ru-RU"/>
        </w:rPr>
        <w:t>2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3F015F">
        <w:rPr>
          <w:rFonts w:eastAsiaTheme="minorEastAsia"/>
          <w:sz w:val="22"/>
          <w:szCs w:val="22"/>
          <w:lang w:val="ru-RU"/>
        </w:rPr>
        <w:t>252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3F015F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3F015F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3F015F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3F015F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2021-2025 год</w:t>
            </w:r>
          </w:p>
        </w:tc>
      </w:tr>
      <w:tr w:rsidR="00D745C0" w:rsidRPr="003F015F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EC2037" w:rsidRDefault="00047AE9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1 940,76</w:t>
            </w:r>
            <w:r w:rsidR="00EC2037" w:rsidRPr="00EC2037">
              <w:rPr>
                <w:sz w:val="24"/>
                <w:szCs w:val="24"/>
                <w:lang w:val="ru-RU"/>
              </w:rPr>
              <w:t xml:space="preserve"> </w:t>
            </w:r>
            <w:r w:rsidR="004369F1" w:rsidRPr="00EC2037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EC2037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EC2037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047AE9">
              <w:rPr>
                <w:sz w:val="24"/>
                <w:szCs w:val="24"/>
                <w:lang w:val="ru-RU"/>
              </w:rPr>
              <w:t>1 940,76</w:t>
            </w:r>
            <w:r w:rsidR="00047AE9" w:rsidRPr="00EC2037">
              <w:rPr>
                <w:sz w:val="24"/>
                <w:szCs w:val="24"/>
                <w:lang w:val="ru-RU"/>
              </w:rPr>
              <w:t xml:space="preserve"> </w:t>
            </w:r>
            <w:r w:rsidR="006A360B" w:rsidRPr="00EC2037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935E64">
              <w:rPr>
                <w:sz w:val="24"/>
                <w:szCs w:val="24"/>
                <w:lang w:val="ru-RU"/>
              </w:rPr>
              <w:t>291,08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047AE9">
              <w:rPr>
                <w:sz w:val="24"/>
                <w:szCs w:val="24"/>
                <w:lang w:val="ru-RU"/>
              </w:rPr>
              <w:t>291,08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047AE9">
              <w:rPr>
                <w:sz w:val="24"/>
                <w:szCs w:val="24"/>
                <w:lang w:val="ru-RU"/>
              </w:rPr>
              <w:t>291,08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3F015F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от 20.07.2007 № 113-оз «Об отдельных вопросах муниципальной службы в Ханты-Мансийском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 xml:space="preserve">Администрация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0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3F015F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законодательства, %</w:t>
      </w:r>
      <w:r w:rsidRPr="00892703">
        <w:rPr>
          <w:rFonts w:eastAsiaTheme="minorEastAsia"/>
          <w:sz w:val="28"/>
          <w:szCs w:val="28"/>
          <w:lang w:val="ru-RU"/>
        </w:rPr>
        <w:t>;</w:t>
      </w:r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3F015F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3F015F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3F015F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3F015F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обучения в сфере противодействия коррупции должностных лиц</w:t>
      </w:r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3F015F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3F015F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3F015F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3F015F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3F015F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>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3F015F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3F015F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3F015F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3F015F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047AE9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1 940, 76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047AE9">
        <w:rPr>
          <w:sz w:val="28"/>
          <w:szCs w:val="28"/>
          <w:lang w:val="ru-RU"/>
        </w:rPr>
        <w:t>1 940, 76</w:t>
      </w:r>
      <w:r w:rsidR="006A360B">
        <w:rPr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935E64">
        <w:rPr>
          <w:sz w:val="28"/>
          <w:szCs w:val="28"/>
          <w:lang w:val="ru-RU"/>
        </w:rPr>
        <w:t>291,08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047AE9" w:rsidRPr="00047AE9">
        <w:rPr>
          <w:sz w:val="28"/>
          <w:szCs w:val="28"/>
          <w:lang w:val="ru-RU"/>
        </w:rPr>
        <w:t xml:space="preserve">291,08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047AE9" w:rsidRPr="00047AE9">
        <w:rPr>
          <w:sz w:val="28"/>
          <w:szCs w:val="28"/>
          <w:lang w:val="ru-RU"/>
        </w:rPr>
        <w:t>291,08</w:t>
      </w:r>
      <w:r w:rsidR="00047AE9" w:rsidRPr="00130F7F">
        <w:rPr>
          <w:sz w:val="24"/>
          <w:szCs w:val="24"/>
          <w:lang w:val="ru-RU"/>
        </w:rPr>
        <w:t xml:space="preserve">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A6035A" w:rsidRPr="00F94C02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муници-пальной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</w:pPr>
                  <w:r>
                    <w:t>Всего, 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1 940, 76</w:t>
                  </w:r>
                </w:p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A6035A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291,08</w:t>
                  </w:r>
                </w:p>
                <w:p w:rsidR="00047AE9" w:rsidRPr="00EC2506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A6035A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662,82</w:t>
                  </w:r>
                </w:p>
                <w:p w:rsidR="00047AE9" w:rsidRPr="00EC2506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EC2037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1 940, 76</w:t>
                  </w:r>
                </w:p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A6035A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291,08</w:t>
                  </w:r>
                </w:p>
                <w:p w:rsidR="00047AE9" w:rsidRPr="00EC2506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047AE9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3F015F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Цель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>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3F015F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>Обучение муниципальных служащих и специалистов, замещающих должности, не отнесённые к должностям муниципальной 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947,2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3F015F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047AE9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047AE9" w:rsidRPr="002D2EB1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047AE9" w:rsidRPr="002D2EB1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947,2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3F015F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3F015F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3F015F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3F015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3F015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3F015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3F015F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3F015F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запреты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3F015F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646A70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161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3F015F">
                  <w:pPr>
                    <w:framePr w:hSpace="180" w:wrap="around" w:hAnchor="margin" w:y="-552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3F015F">
                  <w:pPr>
                    <w:framePr w:hSpace="180" w:wrap="around" w:hAnchor="margin" w:y="-552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118, 89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7E5973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4341D5">
                    <w:t>(тыс. руб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118, 89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7E5973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C0613F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C0613F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3F015F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015F">
                  <w:pPr>
                    <w:framePr w:hSpace="180" w:wrap="around" w:hAnchor="margin" w:y="-552"/>
                  </w:pPr>
                  <w:r w:rsidRPr="00545979"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r w:rsidRPr="00124425">
                      <w:rPr>
                        <w:lang w:val="ru-RU"/>
                      </w:rPr>
                      <w:t>план</w:t>
                    </w:r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3F015F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3F015F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3F015F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3F015F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3F015F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>прошедших диспансеризацию 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3F015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3F015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3F015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3F015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3F015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3F015F">
                  <w:pPr>
                    <w:framePr w:hSpace="180" w:wrap="around" w:hAnchor="margin" w:y="-552"/>
                  </w:pPr>
                  <w:r w:rsidRPr="00545979"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854,24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5C0FFD" w:rsidRDefault="00047AE9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146D72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</w:pPr>
                  <w:r w:rsidRPr="00146D72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3F015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015F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3F015F">
                  <w:pPr>
                    <w:framePr w:hSpace="180" w:wrap="around" w:hAnchor="margin" w:y="-552"/>
                    <w:jc w:val="center"/>
                  </w:pPr>
                  <w:r w:rsidRPr="00B44194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854,24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5C0FFD" w:rsidRDefault="00047AE9" w:rsidP="003F015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976285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015F">
                  <w:pPr>
                    <w:framePr w:hSpace="180" w:wrap="around" w:hAnchor="margin" w:y="-552"/>
                  </w:pPr>
                  <w:r w:rsidRPr="00976285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158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должности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должности не отнесенные к должностям муниципальной службы, за отчетный год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</w:p>
                <w:p w:rsidR="00165AB4" w:rsidRDefault="00165AB4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3F015F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D92157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20,43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130F7F" w:rsidRDefault="00C079F2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3F015F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0D5734" w:rsidRDefault="00C079F2" w:rsidP="003F015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>
                    <w:rPr>
                      <w:lang w:val="ru-RU"/>
                    </w:rPr>
                    <w:t>4,93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3F015F">
                  <w:pPr>
                    <w:framePr w:hSpace="180" w:wrap="around" w:hAnchor="margin" w:y="-552"/>
                    <w:ind w:left="-84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015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015F">
                  <w:pPr>
                    <w:framePr w:hSpace="180" w:wrap="around" w:hAnchor="margin" w:y="-552"/>
                  </w:pPr>
                  <w:r w:rsidRPr="004C37ED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D92157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20,43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3F015F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015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3F015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3F015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3F015F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3F015F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3F015F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4A" w:rsidRDefault="002E5A4A" w:rsidP="00A97CAF">
      <w:r>
        <w:separator/>
      </w:r>
    </w:p>
  </w:endnote>
  <w:endnote w:type="continuationSeparator" w:id="0">
    <w:p w:rsidR="002E5A4A" w:rsidRDefault="002E5A4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4A" w:rsidRDefault="002E5A4A" w:rsidP="00A97CAF">
      <w:r>
        <w:separator/>
      </w:r>
    </w:p>
  </w:footnote>
  <w:footnote w:type="continuationSeparator" w:id="0">
    <w:p w:rsidR="002E5A4A" w:rsidRDefault="002E5A4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046E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42784"/>
    <w:rsid w:val="001440C8"/>
    <w:rsid w:val="001440E9"/>
    <w:rsid w:val="0014672A"/>
    <w:rsid w:val="001516CC"/>
    <w:rsid w:val="0015244D"/>
    <w:rsid w:val="0015339F"/>
    <w:rsid w:val="0015424E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2494"/>
    <w:rsid w:val="002E3A32"/>
    <w:rsid w:val="002E3AEE"/>
    <w:rsid w:val="002E5A4A"/>
    <w:rsid w:val="002E614A"/>
    <w:rsid w:val="002E73BC"/>
    <w:rsid w:val="002F16DB"/>
    <w:rsid w:val="002F57CA"/>
    <w:rsid w:val="003007C3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15F"/>
    <w:rsid w:val="003F024F"/>
    <w:rsid w:val="003F0BB6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1114"/>
    <w:rsid w:val="005A3062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7CAF"/>
    <w:rsid w:val="00AA7133"/>
    <w:rsid w:val="00AA7469"/>
    <w:rsid w:val="00AA7C14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079F2"/>
    <w:rsid w:val="00C10B69"/>
    <w:rsid w:val="00C110B4"/>
    <w:rsid w:val="00C11E59"/>
    <w:rsid w:val="00C141F3"/>
    <w:rsid w:val="00C209F8"/>
    <w:rsid w:val="00C21304"/>
    <w:rsid w:val="00C21306"/>
    <w:rsid w:val="00C23D24"/>
    <w:rsid w:val="00C24699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3EB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48C4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D497E2-E3A1-4EF1-A543-6A62EE4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6499DC7763C14C721EA3B923B9F235E3037858118403BF82AEDF7A488F4840AE3015ABC831C573F520A8AA73A7C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133D-39FC-49EC-ADA6-88A30C9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25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201</cp:revision>
  <cp:lastPrinted>2022-03-22T09:14:00Z</cp:lastPrinted>
  <dcterms:created xsi:type="dcterms:W3CDTF">2020-06-30T08:48:00Z</dcterms:created>
  <dcterms:modified xsi:type="dcterms:W3CDTF">2022-04-01T07:32:00Z</dcterms:modified>
</cp:coreProperties>
</file>