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B8" w:rsidRDefault="00287AB8" w:rsidP="00287AB8">
      <w:pPr>
        <w:jc w:val="center"/>
        <w:rPr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8933736" r:id="rId7"/>
        </w:object>
      </w:r>
    </w:p>
    <w:p w:rsidR="00287AB8" w:rsidRDefault="00287AB8" w:rsidP="00287AB8">
      <w:pPr>
        <w:jc w:val="center"/>
        <w:rPr>
          <w:b/>
          <w:sz w:val="14"/>
          <w:szCs w:val="14"/>
          <w:lang w:eastAsia="ar-SA"/>
        </w:rPr>
      </w:pPr>
    </w:p>
    <w:p w:rsidR="00287AB8" w:rsidRPr="00287AB8" w:rsidRDefault="00287AB8" w:rsidP="00287AB8">
      <w:pPr>
        <w:jc w:val="center"/>
        <w:rPr>
          <w:b/>
          <w:sz w:val="32"/>
          <w:szCs w:val="22"/>
          <w:lang w:val="ru-RU"/>
        </w:rPr>
      </w:pPr>
      <w:r w:rsidRPr="00287AB8">
        <w:rPr>
          <w:b/>
          <w:sz w:val="32"/>
          <w:lang w:val="ru-RU"/>
        </w:rPr>
        <w:t xml:space="preserve">АДМИНИСТРАЦИЯ </w:t>
      </w:r>
    </w:p>
    <w:p w:rsidR="00287AB8" w:rsidRPr="00287AB8" w:rsidRDefault="00287AB8" w:rsidP="00287AB8">
      <w:pPr>
        <w:jc w:val="center"/>
        <w:rPr>
          <w:b/>
          <w:sz w:val="32"/>
          <w:lang w:val="ru-RU" w:eastAsia="ar-SA"/>
        </w:rPr>
      </w:pPr>
      <w:r w:rsidRPr="00287AB8">
        <w:rPr>
          <w:b/>
          <w:sz w:val="32"/>
          <w:lang w:val="ru-RU"/>
        </w:rPr>
        <w:t xml:space="preserve"> ГОРОДСКОГО ПОСЕЛЕНИЯ ЛЯНТОР</w:t>
      </w:r>
    </w:p>
    <w:p w:rsidR="00287AB8" w:rsidRPr="00287AB8" w:rsidRDefault="00287AB8" w:rsidP="00287AB8">
      <w:pPr>
        <w:jc w:val="center"/>
        <w:rPr>
          <w:b/>
          <w:sz w:val="32"/>
          <w:szCs w:val="22"/>
          <w:lang w:val="ru-RU"/>
        </w:rPr>
      </w:pPr>
      <w:proofErr w:type="spellStart"/>
      <w:r w:rsidRPr="00287AB8">
        <w:rPr>
          <w:b/>
          <w:sz w:val="32"/>
          <w:lang w:val="ru-RU"/>
        </w:rPr>
        <w:t>Сургутского</w:t>
      </w:r>
      <w:proofErr w:type="spellEnd"/>
      <w:r w:rsidRPr="00287AB8">
        <w:rPr>
          <w:b/>
          <w:sz w:val="32"/>
          <w:lang w:val="ru-RU"/>
        </w:rPr>
        <w:t xml:space="preserve"> района</w:t>
      </w:r>
    </w:p>
    <w:p w:rsidR="00287AB8" w:rsidRPr="00287AB8" w:rsidRDefault="00287AB8" w:rsidP="00287AB8">
      <w:pPr>
        <w:jc w:val="center"/>
        <w:rPr>
          <w:b/>
          <w:sz w:val="32"/>
          <w:lang w:val="ru-RU"/>
        </w:rPr>
      </w:pPr>
      <w:r w:rsidRPr="00287AB8">
        <w:rPr>
          <w:b/>
          <w:sz w:val="32"/>
          <w:lang w:val="ru-RU"/>
        </w:rPr>
        <w:t>Ханты-Мансийского автономного округа-Югры</w:t>
      </w:r>
    </w:p>
    <w:p w:rsidR="00287AB8" w:rsidRPr="00287AB8" w:rsidRDefault="00287AB8" w:rsidP="00287AB8">
      <w:pPr>
        <w:jc w:val="center"/>
        <w:rPr>
          <w:b/>
          <w:sz w:val="32"/>
          <w:lang w:val="ru-RU"/>
        </w:rPr>
      </w:pPr>
    </w:p>
    <w:p w:rsidR="00287AB8" w:rsidRPr="00287AB8" w:rsidRDefault="00287AB8" w:rsidP="00287AB8">
      <w:pPr>
        <w:jc w:val="center"/>
        <w:rPr>
          <w:sz w:val="22"/>
          <w:lang w:val="ru-RU"/>
        </w:rPr>
      </w:pPr>
      <w:r w:rsidRPr="00287AB8">
        <w:rPr>
          <w:b/>
          <w:sz w:val="32"/>
          <w:szCs w:val="32"/>
          <w:lang w:val="ru-RU"/>
        </w:rPr>
        <w:t>ПОСТАНОВЛЕНИЕ</w:t>
      </w:r>
    </w:p>
    <w:p w:rsidR="00287AB8" w:rsidRPr="00287AB8" w:rsidRDefault="00287AB8" w:rsidP="00287AB8">
      <w:pPr>
        <w:rPr>
          <w:lang w:val="ru-RU"/>
        </w:rPr>
      </w:pPr>
    </w:p>
    <w:p w:rsidR="00287AB8" w:rsidRPr="00287AB8" w:rsidRDefault="00287AB8" w:rsidP="00287AB8">
      <w:pPr>
        <w:rPr>
          <w:sz w:val="28"/>
          <w:szCs w:val="28"/>
          <w:lang w:val="ru-RU"/>
        </w:rPr>
      </w:pPr>
      <w:r w:rsidRPr="00287AB8">
        <w:rPr>
          <w:sz w:val="28"/>
          <w:szCs w:val="28"/>
          <w:u w:val="single"/>
          <w:lang w:val="ru-RU"/>
        </w:rPr>
        <w:t>«</w:t>
      </w:r>
      <w:r w:rsidR="00C51772">
        <w:rPr>
          <w:sz w:val="28"/>
          <w:szCs w:val="28"/>
          <w:u w:val="single"/>
          <w:lang w:val="ru-RU"/>
        </w:rPr>
        <w:t>07</w:t>
      </w:r>
      <w:r w:rsidRPr="00287AB8">
        <w:rPr>
          <w:sz w:val="28"/>
          <w:szCs w:val="28"/>
          <w:u w:val="single"/>
          <w:lang w:val="ru-RU"/>
        </w:rPr>
        <w:t>» декабря 2020 года</w:t>
      </w:r>
      <w:r w:rsidRPr="00287AB8">
        <w:rPr>
          <w:sz w:val="28"/>
          <w:szCs w:val="28"/>
          <w:lang w:val="ru-RU"/>
        </w:rPr>
        <w:t xml:space="preserve">                                                                                   №   </w:t>
      </w:r>
      <w:r w:rsidR="00C51772">
        <w:rPr>
          <w:sz w:val="28"/>
          <w:szCs w:val="28"/>
          <w:lang w:val="ru-RU"/>
        </w:rPr>
        <w:t>1042</w:t>
      </w:r>
      <w:r w:rsidRPr="00287AB8">
        <w:rPr>
          <w:sz w:val="28"/>
          <w:szCs w:val="28"/>
          <w:lang w:val="ru-RU"/>
        </w:rPr>
        <w:t xml:space="preserve">                  </w:t>
      </w:r>
    </w:p>
    <w:p w:rsidR="00287AB8" w:rsidRPr="00287AB8" w:rsidRDefault="00287AB8" w:rsidP="00287AB8">
      <w:pPr>
        <w:rPr>
          <w:sz w:val="28"/>
          <w:szCs w:val="28"/>
          <w:lang w:val="ru-RU"/>
        </w:rPr>
      </w:pPr>
      <w:r w:rsidRPr="00287AB8">
        <w:rPr>
          <w:lang w:val="ru-RU"/>
        </w:rPr>
        <w:t xml:space="preserve">            </w:t>
      </w:r>
      <w:r w:rsidRPr="00287AB8">
        <w:rPr>
          <w:sz w:val="28"/>
          <w:szCs w:val="28"/>
          <w:lang w:val="ru-RU"/>
        </w:rPr>
        <w:t xml:space="preserve">г. </w:t>
      </w:r>
      <w:proofErr w:type="spellStart"/>
      <w:r w:rsidRPr="00287AB8">
        <w:rPr>
          <w:sz w:val="28"/>
          <w:szCs w:val="28"/>
          <w:lang w:val="ru-RU"/>
        </w:rPr>
        <w:t>Лянтор</w:t>
      </w:r>
      <w:proofErr w:type="spellEnd"/>
    </w:p>
    <w:p w:rsidR="006358FC" w:rsidRDefault="006358FC" w:rsidP="001A5F32">
      <w:pPr>
        <w:jc w:val="both"/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</w:t>
      </w:r>
      <w:r w:rsidR="00741241">
        <w:rPr>
          <w:sz w:val="28"/>
          <w:szCs w:val="28"/>
        </w:rPr>
        <w:t xml:space="preserve">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  <w:bookmarkEnd w:id="0"/>
    </w:p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160467">
        <w:rPr>
          <w:sz w:val="28"/>
          <w:szCs w:val="28"/>
          <w:lang w:val="ru-RU"/>
        </w:rPr>
        <w:t xml:space="preserve"> постановлением Администрации городского поселения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№ 713 от 26.08.2019 «Об утверждении плана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1A5F32" w:rsidRP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356438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</w:t>
      </w:r>
      <w:r w:rsidRPr="001A5F32">
        <w:rPr>
          <w:sz w:val="28"/>
          <w:szCs w:val="28"/>
        </w:rPr>
        <w:t>согласно приложению 1 к настоящему постановлению.</w:t>
      </w:r>
    </w:p>
    <w:p w:rsid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 w:rsidR="004B4D43"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160467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согласно </w:t>
      </w:r>
      <w:r w:rsidR="00671390">
        <w:rPr>
          <w:sz w:val="28"/>
          <w:szCs w:val="28"/>
        </w:rPr>
        <w:t xml:space="preserve">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E022A5" w:rsidRDefault="009E597A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032B1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7E171F">
        <w:rPr>
          <w:sz w:val="28"/>
          <w:szCs w:val="28"/>
          <w:lang w:val="ru-RU"/>
        </w:rPr>
        <w:t>Лянтор</w:t>
      </w:r>
      <w:proofErr w:type="spellEnd"/>
      <w:r w:rsidR="007E171F">
        <w:rPr>
          <w:sz w:val="28"/>
          <w:szCs w:val="28"/>
          <w:lang w:val="ru-RU"/>
        </w:rPr>
        <w:t>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7E171F" w:rsidRDefault="007E171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C431AF" w:rsidRDefault="00C431A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D74B4C" w:rsidRPr="00A1171D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D74B4C" w:rsidRDefault="00D74B4C" w:rsidP="00D74B4C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F76EEE" w:rsidRP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Приложение 1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04500A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3113D">
        <w:rPr>
          <w:sz w:val="24"/>
          <w:szCs w:val="24"/>
          <w:lang w:val="ru-RU"/>
        </w:rPr>
        <w:t xml:space="preserve">от </w:t>
      </w:r>
      <w:r w:rsidR="00FF438A">
        <w:rPr>
          <w:sz w:val="24"/>
          <w:szCs w:val="24"/>
          <w:lang w:val="ru-RU"/>
        </w:rPr>
        <w:t>«</w:t>
      </w:r>
      <w:r w:rsidR="00C51772">
        <w:rPr>
          <w:sz w:val="24"/>
          <w:szCs w:val="24"/>
          <w:lang w:val="ru-RU"/>
        </w:rPr>
        <w:t>07</w:t>
      </w:r>
      <w:r w:rsidR="00F76EEE" w:rsidRPr="00F76EEE">
        <w:rPr>
          <w:sz w:val="24"/>
          <w:szCs w:val="24"/>
          <w:lang w:val="ru-RU"/>
        </w:rPr>
        <w:t xml:space="preserve">» </w:t>
      </w:r>
      <w:r w:rsidR="00FE17CE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D74B4C">
        <w:rPr>
          <w:sz w:val="24"/>
          <w:szCs w:val="24"/>
          <w:lang w:val="ru-RU"/>
        </w:rPr>
        <w:t>2020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C51772">
        <w:rPr>
          <w:sz w:val="24"/>
          <w:szCs w:val="24"/>
          <w:lang w:val="ru-RU"/>
        </w:rPr>
        <w:t>1042</w:t>
      </w:r>
    </w:p>
    <w:p w:rsidR="00FF438A" w:rsidRDefault="00FF438A" w:rsidP="0004500A">
      <w:pPr>
        <w:ind w:left="5387"/>
        <w:jc w:val="both"/>
        <w:rPr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7E171F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D4CDD" w:rsidRPr="00671390" w:rsidRDefault="006D4CDD" w:rsidP="006D4CD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</w:t>
      </w:r>
      <w:r w:rsidR="00D86B4B">
        <w:rPr>
          <w:sz w:val="28"/>
          <w:szCs w:val="28"/>
          <w:lang w:val="ru-RU"/>
        </w:rPr>
        <w:t>е приём, регистрацию документов (далее – Уполномоченный орган)</w:t>
      </w:r>
      <w:r w:rsidR="00A62D52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6D4CDD" w:rsidRPr="00671390">
        <w:rPr>
          <w:color w:val="000000"/>
          <w:sz w:val="28"/>
          <w:szCs w:val="28"/>
          <w:lang w:val="ru-RU"/>
        </w:rPr>
        <w:t>муниципальным</w:t>
      </w:r>
      <w:r w:rsidR="006D4CDD">
        <w:rPr>
          <w:color w:val="000000"/>
          <w:sz w:val="28"/>
          <w:szCs w:val="28"/>
          <w:lang w:val="ru-RU"/>
        </w:rPr>
        <w:t>и (государственными</w:t>
      </w:r>
      <w:r w:rsidRPr="00671390">
        <w:rPr>
          <w:color w:val="000000"/>
          <w:sz w:val="28"/>
          <w:szCs w:val="28"/>
          <w:lang w:val="ru-RU"/>
        </w:rPr>
        <w:t>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="0004621C">
        <w:rPr>
          <w:color w:val="000000"/>
          <w:sz w:val="28"/>
          <w:szCs w:val="28"/>
          <w:lang w:val="ru-RU"/>
        </w:rPr>
        <w:t xml:space="preserve">физической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6D4CDD">
        <w:rPr>
          <w:color w:val="000000"/>
          <w:sz w:val="28"/>
          <w:szCs w:val="28"/>
          <w:lang w:val="ru-RU"/>
        </w:rPr>
        <w:t>и спорта</w:t>
      </w:r>
      <w:r w:rsidR="00356438">
        <w:rPr>
          <w:color w:val="000000"/>
          <w:sz w:val="28"/>
          <w:szCs w:val="28"/>
          <w:lang w:val="ru-RU"/>
        </w:rPr>
        <w:t>,</w:t>
      </w:r>
      <w:r w:rsidR="006D4CDD">
        <w:rPr>
          <w:color w:val="000000"/>
          <w:sz w:val="28"/>
          <w:szCs w:val="28"/>
          <w:lang w:val="ru-RU"/>
        </w:rPr>
        <w:t xml:space="preserve"> предусмотренную учредительными документами, </w:t>
      </w:r>
      <w:r w:rsidRPr="00671390">
        <w:rPr>
          <w:sz w:val="28"/>
          <w:szCs w:val="28"/>
          <w:lang w:val="ru-RU"/>
        </w:rPr>
        <w:t xml:space="preserve">на территории </w:t>
      </w:r>
      <w:r w:rsidR="006D4CDD">
        <w:rPr>
          <w:sz w:val="28"/>
          <w:szCs w:val="28"/>
          <w:lang w:val="ru-RU"/>
        </w:rPr>
        <w:t xml:space="preserve">Ханты – Мансийского автономного округа – Югры </w:t>
      </w:r>
      <w:r w:rsidR="00DE211D">
        <w:rPr>
          <w:sz w:val="28"/>
          <w:szCs w:val="28"/>
          <w:lang w:val="ru-RU"/>
        </w:rPr>
        <w:t>и не выполняющие функции иностранного агента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6D4CDD">
        <w:rPr>
          <w:color w:val="000000"/>
          <w:sz w:val="28"/>
          <w:szCs w:val="28"/>
          <w:lang w:val="ru-RU"/>
        </w:rPr>
        <w:t>Уполномоченный орган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</w:t>
      </w:r>
      <w:r w:rsidR="0004621C">
        <w:rPr>
          <w:color w:val="000000"/>
          <w:sz w:val="28"/>
          <w:szCs w:val="28"/>
          <w:lang w:val="ru-RU"/>
        </w:rPr>
        <w:t>аниям, установленным пунктом 3.2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</w:t>
      </w:r>
      <w:r w:rsidR="00356438">
        <w:rPr>
          <w:color w:val="000000"/>
          <w:sz w:val="28"/>
          <w:szCs w:val="28"/>
          <w:lang w:val="ru-RU"/>
        </w:rPr>
        <w:t>го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="00356438">
        <w:rPr>
          <w:color w:val="000000"/>
          <w:sz w:val="28"/>
          <w:szCs w:val="28"/>
          <w:lang w:val="ru-RU"/>
        </w:rPr>
        <w:t>отбора</w:t>
      </w:r>
      <w:r w:rsidRPr="00671390">
        <w:rPr>
          <w:color w:val="000000"/>
          <w:sz w:val="28"/>
          <w:szCs w:val="28"/>
          <w:lang w:val="ru-RU"/>
        </w:rPr>
        <w:t xml:space="preserve">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="0004621C">
        <w:rPr>
          <w:sz w:val="28"/>
          <w:szCs w:val="28"/>
          <w:lang w:val="ru-RU"/>
        </w:rPr>
        <w:t>(далее - Комиссия).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</w:t>
      </w:r>
      <w:r w:rsidR="00CE45E5">
        <w:rPr>
          <w:sz w:val="28"/>
          <w:szCs w:val="28"/>
          <w:lang w:val="ru-RU"/>
        </w:rPr>
        <w:t xml:space="preserve">граждан (далее – проведение </w:t>
      </w:r>
      <w:proofErr w:type="spellStart"/>
      <w:r w:rsidR="00CE45E5">
        <w:rPr>
          <w:sz w:val="28"/>
          <w:szCs w:val="28"/>
          <w:lang w:val="ru-RU"/>
        </w:rPr>
        <w:t>физкультурно</w:t>
      </w:r>
      <w:proofErr w:type="spellEnd"/>
      <w:r w:rsidR="00CE45E5">
        <w:rPr>
          <w:sz w:val="28"/>
          <w:szCs w:val="28"/>
          <w:lang w:val="ru-RU"/>
        </w:rPr>
        <w:t xml:space="preserve"> – спортивных занятий) до</w:t>
      </w:r>
      <w:r w:rsidR="00CD143F">
        <w:rPr>
          <w:color w:val="000000"/>
          <w:sz w:val="28"/>
          <w:szCs w:val="28"/>
          <w:lang w:val="ru-RU"/>
        </w:rPr>
        <w:t>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CD143F" w:rsidRPr="001F0B78">
        <w:rPr>
          <w:color w:val="000000"/>
          <w:sz w:val="28"/>
          <w:szCs w:val="28"/>
          <w:lang w:val="ru-RU"/>
        </w:rPr>
        <w:lastRenderedPageBreak/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Лянторе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Default="005F27BF" w:rsidP="0067139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FE17CE" w:rsidRDefault="00FE17CE" w:rsidP="00671390">
      <w:pPr>
        <w:ind w:firstLine="709"/>
        <w:jc w:val="center"/>
        <w:rPr>
          <w:lang w:val="ru-RU"/>
        </w:rPr>
      </w:pPr>
    </w:p>
    <w:p w:rsidR="004E7E83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356438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проведения</w:t>
      </w:r>
      <w:r w:rsidR="0004621C">
        <w:rPr>
          <w:color w:val="000000"/>
          <w:sz w:val="28"/>
          <w:szCs w:val="28"/>
          <w:lang w:val="ru-RU"/>
        </w:rPr>
        <w:t xml:space="preserve"> на территории города </w:t>
      </w:r>
      <w:proofErr w:type="spellStart"/>
      <w:r w:rsidR="0004621C">
        <w:rPr>
          <w:color w:val="000000"/>
          <w:sz w:val="28"/>
          <w:szCs w:val="28"/>
          <w:lang w:val="ru-RU"/>
        </w:rPr>
        <w:t>Лянтора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D74B4C">
        <w:rPr>
          <w:color w:val="000000"/>
          <w:sz w:val="28"/>
          <w:szCs w:val="28"/>
          <w:lang w:val="ru-RU"/>
        </w:rPr>
        <w:t>432</w:t>
      </w:r>
      <w:r w:rsidR="001604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E45E5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E45E5">
        <w:rPr>
          <w:color w:val="000000"/>
          <w:sz w:val="28"/>
          <w:szCs w:val="28"/>
          <w:lang w:val="ru-RU"/>
        </w:rPr>
        <w:t xml:space="preserve"> – спортивных занятий</w:t>
      </w:r>
      <w:r w:rsidR="0004621C">
        <w:rPr>
          <w:color w:val="000000"/>
          <w:sz w:val="28"/>
          <w:szCs w:val="28"/>
          <w:lang w:val="ru-RU"/>
        </w:rPr>
        <w:t xml:space="preserve"> продолжительностью 2 часа для занимающих</w:t>
      </w:r>
      <w:r w:rsidR="00FF438A">
        <w:rPr>
          <w:color w:val="000000"/>
          <w:sz w:val="28"/>
          <w:szCs w:val="28"/>
          <w:lang w:val="ru-RU"/>
        </w:rPr>
        <w:t xml:space="preserve">ся в общем количестве не менее </w:t>
      </w:r>
      <w:r w:rsidR="004E7E83">
        <w:rPr>
          <w:color w:val="000000"/>
          <w:sz w:val="28"/>
          <w:szCs w:val="28"/>
          <w:lang w:val="ru-RU"/>
        </w:rPr>
        <w:t>6</w:t>
      </w:r>
      <w:r w:rsidR="0004621C">
        <w:rPr>
          <w:color w:val="000000"/>
          <w:sz w:val="28"/>
          <w:szCs w:val="28"/>
          <w:lang w:val="ru-RU"/>
        </w:rPr>
        <w:t>0 человек</w:t>
      </w:r>
      <w:r w:rsidR="004E7E83">
        <w:rPr>
          <w:color w:val="000000"/>
          <w:sz w:val="28"/>
          <w:szCs w:val="28"/>
          <w:lang w:val="ru-RU"/>
        </w:rPr>
        <w:t xml:space="preserve"> по бильярдному спорту.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CE45E5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 xml:space="preserve">города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Лянтора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="00671390" w:rsidRPr="00671390">
        <w:rPr>
          <w:color w:val="000000"/>
          <w:sz w:val="28"/>
          <w:szCs w:val="28"/>
          <w:lang w:val="ru-RU"/>
        </w:rPr>
        <w:t>величение количества человек, привлеченн</w:t>
      </w:r>
      <w:r w:rsidR="00CE45E5">
        <w:rPr>
          <w:color w:val="000000"/>
          <w:sz w:val="28"/>
          <w:szCs w:val="28"/>
          <w:lang w:val="ru-RU"/>
        </w:rPr>
        <w:t>ых к систематическим занятиям физической культурой и спортом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F76EEE" w:rsidRDefault="00671390" w:rsidP="00671390">
      <w:pPr>
        <w:ind w:firstLine="709"/>
        <w:jc w:val="both"/>
        <w:rPr>
          <w:color w:val="000000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 w:rsidR="00873BDB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организации </w:t>
      </w:r>
      <w:r w:rsidR="00366FD8">
        <w:rPr>
          <w:color w:val="000000"/>
          <w:sz w:val="28"/>
          <w:szCs w:val="28"/>
          <w:lang w:val="ru-RU"/>
        </w:rPr>
        <w:t xml:space="preserve">проведения </w:t>
      </w:r>
      <w:proofErr w:type="spellStart"/>
      <w:r w:rsidR="00366FD8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366FD8">
        <w:rPr>
          <w:color w:val="000000"/>
          <w:sz w:val="28"/>
          <w:szCs w:val="28"/>
          <w:lang w:val="ru-RU"/>
        </w:rPr>
        <w:t xml:space="preserve"> – спортивных занятий </w:t>
      </w:r>
      <w:r w:rsidR="002032B1">
        <w:rPr>
          <w:color w:val="000000"/>
          <w:sz w:val="28"/>
          <w:szCs w:val="28"/>
          <w:lang w:val="ru-RU"/>
        </w:rPr>
        <w:t>(</w:t>
      </w:r>
      <w:r w:rsidR="00366FD8">
        <w:rPr>
          <w:color w:val="000000"/>
          <w:sz w:val="28"/>
          <w:szCs w:val="28"/>
          <w:lang w:val="ru-RU"/>
        </w:rPr>
        <w:t xml:space="preserve">на территории города </w:t>
      </w:r>
      <w:proofErr w:type="spellStart"/>
      <w:r w:rsidR="00366FD8">
        <w:rPr>
          <w:color w:val="000000"/>
          <w:sz w:val="28"/>
          <w:szCs w:val="28"/>
          <w:lang w:val="ru-RU"/>
        </w:rPr>
        <w:t>Лянтора</w:t>
      </w:r>
      <w:proofErr w:type="spellEnd"/>
      <w:r w:rsidR="002032B1">
        <w:rPr>
          <w:color w:val="000000"/>
          <w:sz w:val="28"/>
          <w:szCs w:val="28"/>
          <w:lang w:val="ru-RU"/>
        </w:rPr>
        <w:t>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(далее - конкурсный проект) 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873BDB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 w:rsidR="00873BDB">
        <w:rPr>
          <w:color w:val="000000"/>
          <w:sz w:val="28"/>
          <w:szCs w:val="28"/>
          <w:lang w:val="ru-RU"/>
        </w:rPr>
        <w:t>.</w:t>
      </w:r>
    </w:p>
    <w:p w:rsidR="00AC40FC" w:rsidRPr="00671390" w:rsidRDefault="00873BDB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3.2.2.</w:t>
      </w:r>
      <w:r w:rsidR="00AC40FC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существление деятельности в сфере </w:t>
      </w:r>
      <w:r w:rsidR="00AC40FC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AC40FC"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AC40FC" w:rsidRPr="00671390">
        <w:rPr>
          <w:color w:val="000000"/>
          <w:sz w:val="28"/>
          <w:szCs w:val="28"/>
          <w:lang w:val="ru-RU"/>
        </w:rPr>
        <w:t>.</w:t>
      </w:r>
    </w:p>
    <w:p w:rsidR="0022137A" w:rsidRDefault="0022137A" w:rsidP="0022137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 О</w:t>
      </w:r>
      <w:r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</w:t>
      </w:r>
      <w:r w:rsidRPr="00C50BE1">
        <w:rPr>
          <w:rFonts w:eastAsia="Calibri" w:cs="Arial"/>
          <w:sz w:val="28"/>
          <w:szCs w:val="28"/>
          <w:lang w:val="ru-RU"/>
        </w:rPr>
        <w:t>предоставленных в том числе в соответствии с иными муниципальным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правовыми актами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="00DE211D">
        <w:rPr>
          <w:rFonts w:eastAsia="Calibri" w:cs="Arial"/>
          <w:sz w:val="28"/>
          <w:szCs w:val="28"/>
          <w:lang w:val="ru-RU"/>
        </w:rPr>
        <w:t>, и иной просроченной</w:t>
      </w:r>
      <w:r w:rsidRPr="00C50BE1">
        <w:rPr>
          <w:rFonts w:eastAsia="Calibri" w:cs="Arial"/>
          <w:sz w:val="28"/>
          <w:szCs w:val="28"/>
          <w:lang w:val="ru-RU"/>
        </w:rPr>
        <w:t xml:space="preserve"> задолженност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перед бюджетом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Pr="00C50BE1">
        <w:rPr>
          <w:rFonts w:eastAsia="Calibri" w:cs="Arial"/>
          <w:sz w:val="28"/>
          <w:szCs w:val="28"/>
          <w:lang w:val="ru-RU"/>
        </w:rPr>
        <w:t>.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01551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FB15F9" w:rsidRPr="00C50BE1" w:rsidRDefault="00FB15F9" w:rsidP="00FB15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Arial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3.2.5. </w:t>
      </w:r>
      <w:r>
        <w:rPr>
          <w:rFonts w:eastAsia="Calibri" w:cs="Arial"/>
          <w:sz w:val="28"/>
          <w:szCs w:val="28"/>
          <w:lang w:val="ru-RU"/>
        </w:rPr>
        <w:t xml:space="preserve">Не </w:t>
      </w:r>
      <w:r w:rsidRPr="00C50BE1">
        <w:rPr>
          <w:rFonts w:eastAsia="Calibri" w:cs="Arial"/>
          <w:sz w:val="28"/>
          <w:szCs w:val="28"/>
          <w:lang w:val="ru-RU"/>
        </w:rPr>
        <w:t>нахо</w:t>
      </w:r>
      <w:r>
        <w:rPr>
          <w:rFonts w:eastAsia="Calibri" w:cs="Arial"/>
          <w:sz w:val="28"/>
          <w:szCs w:val="28"/>
          <w:lang w:val="ru-RU"/>
        </w:rPr>
        <w:t>ж</w:t>
      </w:r>
      <w:r w:rsidRPr="00C50BE1">
        <w:rPr>
          <w:rFonts w:eastAsia="Calibri" w:cs="Arial"/>
          <w:sz w:val="28"/>
          <w:szCs w:val="28"/>
          <w:lang w:val="ru-RU"/>
        </w:rPr>
        <w:t>д</w:t>
      </w:r>
      <w:r>
        <w:rPr>
          <w:rFonts w:eastAsia="Calibri" w:cs="Arial"/>
          <w:sz w:val="28"/>
          <w:szCs w:val="28"/>
          <w:lang w:val="ru-RU"/>
        </w:rPr>
        <w:t>ение</w:t>
      </w:r>
      <w:r w:rsidRPr="00C50BE1">
        <w:rPr>
          <w:rFonts w:eastAsia="Calibri" w:cs="Arial"/>
          <w:sz w:val="28"/>
          <w:szCs w:val="28"/>
          <w:lang w:val="ru-RU"/>
        </w:rPr>
        <w:t xml:space="preserve"> в процессе реорганизации, ликвидации, </w:t>
      </w:r>
      <w:r w:rsidR="002C4958">
        <w:rPr>
          <w:rFonts w:eastAsia="Calibri" w:cs="Arial"/>
          <w:sz w:val="28"/>
          <w:szCs w:val="28"/>
          <w:lang w:val="ru-RU"/>
        </w:rPr>
        <w:t xml:space="preserve">не введение </w:t>
      </w:r>
      <w:r>
        <w:rPr>
          <w:rFonts w:eastAsia="Calibri" w:cs="Arial"/>
          <w:sz w:val="28"/>
          <w:szCs w:val="28"/>
          <w:lang w:val="ru-RU"/>
        </w:rPr>
        <w:t>в отношении его процедур</w:t>
      </w:r>
      <w:r w:rsidR="002C4958">
        <w:rPr>
          <w:rFonts w:eastAsia="Calibri" w:cs="Arial"/>
          <w:sz w:val="28"/>
          <w:szCs w:val="28"/>
          <w:lang w:val="ru-RU"/>
        </w:rPr>
        <w:t>ы</w:t>
      </w:r>
      <w:r>
        <w:rPr>
          <w:rFonts w:eastAsia="Calibri" w:cs="Arial"/>
          <w:sz w:val="28"/>
          <w:szCs w:val="28"/>
          <w:lang w:val="ru-RU"/>
        </w:rPr>
        <w:t xml:space="preserve"> банкротства, </w:t>
      </w:r>
      <w:r w:rsidR="002C4958">
        <w:rPr>
          <w:rFonts w:eastAsia="Calibri" w:cs="Arial"/>
          <w:sz w:val="28"/>
          <w:szCs w:val="28"/>
          <w:lang w:val="ru-RU"/>
        </w:rPr>
        <w:t xml:space="preserve">не приостановление </w:t>
      </w:r>
      <w:r>
        <w:rPr>
          <w:rFonts w:eastAsia="Calibri" w:cs="Arial"/>
          <w:sz w:val="28"/>
          <w:szCs w:val="28"/>
          <w:lang w:val="ru-RU"/>
        </w:rPr>
        <w:t>деятельност</w:t>
      </w:r>
      <w:r w:rsidR="002C4958">
        <w:rPr>
          <w:rFonts w:eastAsia="Calibri" w:cs="Arial"/>
          <w:sz w:val="28"/>
          <w:szCs w:val="28"/>
          <w:lang w:val="ru-RU"/>
        </w:rPr>
        <w:t>и</w:t>
      </w:r>
      <w:r>
        <w:rPr>
          <w:rFonts w:eastAsia="Calibri" w:cs="Arial"/>
          <w:sz w:val="28"/>
          <w:szCs w:val="28"/>
          <w:lang w:val="ru-RU"/>
        </w:rPr>
        <w:t xml:space="preserve"> в порядке, предусмотренном законодательством Российской Федерации;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3.4. Для участия в конкурсе на дату приёма заявок и документов, Соискатель предостав</w:t>
      </w:r>
      <w:r w:rsidR="002032B1">
        <w:rPr>
          <w:sz w:val="28"/>
          <w:szCs w:val="28"/>
          <w:lang w:val="ru-RU"/>
        </w:rPr>
        <w:t>ляет</w:t>
      </w:r>
      <w:r w:rsidRPr="00151C38">
        <w:rPr>
          <w:sz w:val="28"/>
          <w:szCs w:val="28"/>
          <w:lang w:val="ru-RU"/>
        </w:rPr>
        <w:t xml:space="preserve">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AC40FC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873BD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032B1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>.</w:t>
      </w:r>
    </w:p>
    <w:p w:rsidR="00AC40FC" w:rsidRPr="00151C38" w:rsidRDefault="002032B1" w:rsidP="00AC4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C71DD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к</w:t>
      </w:r>
      <w:r w:rsidR="00AC40FC">
        <w:rPr>
          <w:sz w:val="28"/>
          <w:szCs w:val="28"/>
          <w:lang w:val="ru-RU"/>
        </w:rPr>
        <w:t xml:space="preserve">онкурсный проект </w:t>
      </w:r>
      <w:r w:rsidR="00AC40FC"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="00AC40FC"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="00AC40FC" w:rsidRPr="00151C38">
        <w:rPr>
          <w:sz w:val="28"/>
          <w:szCs w:val="28"/>
          <w:lang w:val="ru-RU"/>
        </w:rPr>
        <w:t>оложению.</w:t>
      </w:r>
    </w:p>
    <w:p w:rsidR="00873BDB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873BDB">
        <w:rPr>
          <w:sz w:val="28"/>
          <w:szCs w:val="28"/>
          <w:lang w:val="ru-RU"/>
        </w:rPr>
        <w:t>Документ, указанный в подпункте 5</w:t>
      </w:r>
      <w:r w:rsidR="00873BDB" w:rsidRPr="00151C38">
        <w:rPr>
          <w:sz w:val="28"/>
          <w:szCs w:val="28"/>
          <w:lang w:val="ru-RU"/>
        </w:rPr>
        <w:t xml:space="preserve"> пункта 3.4 настоящего </w:t>
      </w:r>
      <w:r w:rsidR="00873BDB">
        <w:rPr>
          <w:sz w:val="28"/>
          <w:szCs w:val="28"/>
          <w:lang w:val="ru-RU"/>
        </w:rPr>
        <w:t>п</w:t>
      </w:r>
      <w:r w:rsidR="00873BDB" w:rsidRPr="00151C38">
        <w:rPr>
          <w:sz w:val="28"/>
          <w:szCs w:val="28"/>
          <w:lang w:val="ru-RU"/>
        </w:rPr>
        <w:t>оложения</w:t>
      </w:r>
      <w:r w:rsidR="00873BDB" w:rsidRPr="00873BDB">
        <w:rPr>
          <w:sz w:val="28"/>
          <w:szCs w:val="28"/>
          <w:lang w:val="ru-RU"/>
        </w:rPr>
        <w:t xml:space="preserve"> </w:t>
      </w:r>
      <w:r w:rsidR="00873BDB">
        <w:rPr>
          <w:sz w:val="28"/>
          <w:szCs w:val="28"/>
          <w:lang w:val="ru-RU"/>
        </w:rPr>
        <w:t>Уполномоченный орган получает самостоятельно.</w:t>
      </w:r>
      <w:r w:rsidR="00015512">
        <w:rPr>
          <w:sz w:val="28"/>
          <w:szCs w:val="28"/>
          <w:lang w:val="ru-RU"/>
        </w:rPr>
        <w:t xml:space="preserve"> Соискатель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1659DC" w:rsidRDefault="001659DC" w:rsidP="001659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Документ, указанный в подпункте 6</w:t>
      </w:r>
      <w:r w:rsidRPr="00151C38">
        <w:rPr>
          <w:sz w:val="28"/>
          <w:szCs w:val="28"/>
          <w:lang w:val="ru-RU"/>
        </w:rPr>
        <w:t xml:space="preserve"> 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 w:rsidRPr="00873BDB">
        <w:rPr>
          <w:sz w:val="28"/>
          <w:szCs w:val="28"/>
          <w:lang w:val="ru-RU"/>
        </w:rPr>
        <w:t xml:space="preserve"> </w:t>
      </w:r>
      <w:r w:rsidR="002C4958">
        <w:rPr>
          <w:sz w:val="28"/>
          <w:szCs w:val="28"/>
          <w:lang w:val="ru-RU"/>
        </w:rPr>
        <w:t>Администрация города запрашивает самостоятельно</w:t>
      </w:r>
      <w:r>
        <w:rPr>
          <w:sz w:val="28"/>
          <w:szCs w:val="28"/>
          <w:lang w:val="ru-RU"/>
        </w:rPr>
        <w:t>. Соискатель вправе по собственной инициативе представить данный документ</w:t>
      </w:r>
      <w:r w:rsidR="002C4958">
        <w:rPr>
          <w:sz w:val="28"/>
          <w:szCs w:val="28"/>
          <w:lang w:val="ru-RU"/>
        </w:rPr>
        <w:t>.</w:t>
      </w:r>
    </w:p>
    <w:p w:rsidR="00873BDB" w:rsidRDefault="00873BDB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659D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Документ, указанный в подпункте 7 </w:t>
      </w:r>
      <w:r w:rsidRPr="00151C38">
        <w:rPr>
          <w:sz w:val="28"/>
          <w:szCs w:val="28"/>
          <w:lang w:val="ru-RU"/>
        </w:rPr>
        <w:t xml:space="preserve">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>
        <w:rPr>
          <w:sz w:val="28"/>
          <w:szCs w:val="28"/>
          <w:lang w:val="ru-RU"/>
        </w:rPr>
        <w:t xml:space="preserve"> Администрация </w:t>
      </w:r>
      <w:r w:rsidR="00015512">
        <w:rPr>
          <w:sz w:val="28"/>
          <w:szCs w:val="28"/>
          <w:lang w:val="ru-RU"/>
        </w:rPr>
        <w:t xml:space="preserve">города </w:t>
      </w:r>
      <w:r>
        <w:rPr>
          <w:sz w:val="28"/>
          <w:szCs w:val="28"/>
          <w:lang w:val="ru-RU"/>
        </w:rPr>
        <w:t>формирует самостоятельно.</w:t>
      </w:r>
    </w:p>
    <w:p w:rsidR="00DE211D" w:rsidRPr="00DE211D" w:rsidRDefault="00DE211D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659D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Pr="00DE211D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1659DC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 Документы, представленные на Конкурс, регистрируются в журнале учёта и рассматриваются Комиссией в течение 5</w:t>
      </w:r>
      <w:r w:rsidR="007A1195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7A1195">
        <w:rPr>
          <w:color w:val="000000"/>
          <w:sz w:val="28"/>
          <w:szCs w:val="28"/>
          <w:lang w:val="ru-RU"/>
        </w:rPr>
        <w:t xml:space="preserve">рабочих </w:t>
      </w:r>
      <w:r w:rsidRPr="00151C38">
        <w:rPr>
          <w:color w:val="000000"/>
          <w:sz w:val="28"/>
          <w:szCs w:val="28"/>
          <w:lang w:val="ru-RU"/>
        </w:rPr>
        <w:t xml:space="preserve"> дней</w:t>
      </w:r>
      <w:proofErr w:type="gramEnd"/>
      <w:r w:rsidRPr="00151C38">
        <w:rPr>
          <w:color w:val="000000"/>
          <w:sz w:val="28"/>
          <w:szCs w:val="28"/>
          <w:lang w:val="ru-RU"/>
        </w:rPr>
        <w:t xml:space="preserve">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1659DC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73BDB">
        <w:rPr>
          <w:color w:val="000000"/>
          <w:sz w:val="28"/>
          <w:szCs w:val="28"/>
          <w:lang w:val="ru-RU"/>
        </w:rPr>
        <w:t>1</w:t>
      </w:r>
      <w:r w:rsidR="001659DC">
        <w:rPr>
          <w:color w:val="000000"/>
          <w:sz w:val="28"/>
          <w:szCs w:val="28"/>
          <w:lang w:val="ru-RU"/>
        </w:rPr>
        <w:t>1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2" w:name="sub_1008"/>
      <w:bookmarkEnd w:id="1"/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1</w:t>
      </w:r>
      <w:r w:rsidR="001659DC">
        <w:rPr>
          <w:color w:val="000000"/>
          <w:sz w:val="28"/>
          <w:szCs w:val="28"/>
          <w:lang w:val="ru-RU"/>
        </w:rPr>
        <w:t>2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</w:t>
      </w:r>
      <w:r w:rsidR="007A1195">
        <w:rPr>
          <w:color w:val="000000"/>
          <w:sz w:val="28"/>
          <w:szCs w:val="28"/>
          <w:lang w:val="ru-RU"/>
        </w:rPr>
        <w:t>е Администрацией города и органом внутреннего</w:t>
      </w:r>
      <w:r w:rsidR="00AC40FC" w:rsidRPr="00151C38">
        <w:rPr>
          <w:color w:val="000000"/>
          <w:sz w:val="28"/>
          <w:szCs w:val="28"/>
          <w:lang w:val="ru-RU"/>
        </w:rPr>
        <w:t xml:space="preserve"> муниципального финансового контроля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2032B1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54645B" w:rsidRDefault="00671390" w:rsidP="00671390">
      <w:pPr>
        <w:jc w:val="both"/>
        <w:rPr>
          <w:lang w:val="ru-RU"/>
        </w:rPr>
      </w:pPr>
    </w:p>
    <w:p w:rsidR="003B3777" w:rsidRPr="0054645B" w:rsidRDefault="003B3777" w:rsidP="003B3777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>4.1. Основные этапы проведения конкурса:</w:t>
      </w:r>
    </w:p>
    <w:p w:rsidR="003B3777" w:rsidRPr="00771EFA" w:rsidRDefault="003B3777" w:rsidP="003B3777">
      <w:pPr>
        <w:ind w:firstLine="709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>1 этап – с 0</w:t>
      </w:r>
      <w:r w:rsidR="00D74B4C">
        <w:rPr>
          <w:sz w:val="28"/>
          <w:szCs w:val="28"/>
          <w:lang w:val="ru-RU"/>
        </w:rPr>
        <w:t>7</w:t>
      </w:r>
      <w:r w:rsidRPr="00771EFA">
        <w:rPr>
          <w:sz w:val="28"/>
          <w:szCs w:val="28"/>
          <w:lang w:val="ru-RU"/>
        </w:rPr>
        <w:t>.12.20</w:t>
      </w:r>
      <w:r w:rsidR="00D74B4C">
        <w:rPr>
          <w:sz w:val="28"/>
          <w:szCs w:val="28"/>
          <w:lang w:val="ru-RU"/>
        </w:rPr>
        <w:t>20</w:t>
      </w:r>
      <w:r w:rsidRPr="00771EFA">
        <w:rPr>
          <w:sz w:val="28"/>
          <w:szCs w:val="28"/>
          <w:lang w:val="ru-RU"/>
        </w:rPr>
        <w:t xml:space="preserve"> по 1</w:t>
      </w:r>
      <w:r w:rsidR="00AF59D3">
        <w:rPr>
          <w:sz w:val="28"/>
          <w:szCs w:val="28"/>
          <w:lang w:val="ru-RU"/>
        </w:rPr>
        <w:t>1</w:t>
      </w:r>
      <w:r w:rsidR="00D74B4C">
        <w:rPr>
          <w:sz w:val="28"/>
          <w:szCs w:val="28"/>
          <w:lang w:val="ru-RU"/>
        </w:rPr>
        <w:t>.12.2020</w:t>
      </w:r>
      <w:r w:rsidRPr="00771EFA">
        <w:rPr>
          <w:sz w:val="28"/>
          <w:szCs w:val="28"/>
          <w:lang w:val="ru-RU"/>
        </w:rPr>
        <w:t xml:space="preserve">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3B3777" w:rsidRPr="00771EFA" w:rsidRDefault="00AF59D3" w:rsidP="003B37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этап - с 14</w:t>
      </w:r>
      <w:r w:rsidR="00D74B4C">
        <w:rPr>
          <w:sz w:val="28"/>
          <w:szCs w:val="28"/>
          <w:lang w:val="ru-RU"/>
        </w:rPr>
        <w:t>.12.2020 по 23.12.2020</w:t>
      </w:r>
      <w:r w:rsidR="003B3777" w:rsidRPr="00771EFA">
        <w:rPr>
          <w:sz w:val="28"/>
          <w:szCs w:val="28"/>
          <w:lang w:val="ru-RU"/>
        </w:rPr>
        <w:t xml:space="preserve"> - приём документов, заявок и конкурсных проектов;</w:t>
      </w:r>
    </w:p>
    <w:p w:rsidR="003B3777" w:rsidRPr="00771EFA" w:rsidRDefault="00AF59D3" w:rsidP="003B37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этап - с 24.12.2020 по 30</w:t>
      </w:r>
      <w:r w:rsidR="00D74B4C">
        <w:rPr>
          <w:sz w:val="28"/>
          <w:szCs w:val="28"/>
          <w:lang w:val="ru-RU"/>
        </w:rPr>
        <w:t>.12.2020</w:t>
      </w:r>
      <w:r w:rsidR="003B3777" w:rsidRPr="00771EFA">
        <w:rPr>
          <w:sz w:val="28"/>
          <w:szCs w:val="28"/>
          <w:lang w:val="ru-RU"/>
        </w:rPr>
        <w:t xml:space="preserve"> -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</w:t>
      </w:r>
      <w:proofErr w:type="spellStart"/>
      <w:r w:rsidR="003B3777" w:rsidRPr="00771EFA">
        <w:rPr>
          <w:sz w:val="28"/>
          <w:szCs w:val="28"/>
          <w:lang w:val="ru-RU"/>
        </w:rPr>
        <w:t>Лянтор</w:t>
      </w:r>
      <w:proofErr w:type="spellEnd"/>
      <w:r w:rsidR="003B3777" w:rsidRPr="00771EFA">
        <w:rPr>
          <w:sz w:val="28"/>
          <w:szCs w:val="28"/>
          <w:lang w:val="ru-RU"/>
        </w:rPr>
        <w:t>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F76EEE" w:rsidRDefault="00671390" w:rsidP="00671390">
      <w:pPr>
        <w:ind w:firstLine="709"/>
        <w:jc w:val="center"/>
        <w:rPr>
          <w:color w:val="000000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FE17CE" w:rsidRDefault="00FE17CE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FE17CE" w:rsidRPr="00671390" w:rsidRDefault="00FE17CE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60467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160467" w:rsidRPr="00671390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Pr="00DE55DD" w:rsidRDefault="00177664" w:rsidP="00177664">
      <w:pPr>
        <w:ind w:firstLine="708"/>
        <w:jc w:val="both"/>
        <w:rPr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 xml:space="preserve">6.2. Заявки принимаются ежедневно, кроме субботы и воскресенья, с 09.00 часов до 12.30 часов и с 14.00 часов до 17.00 часов по адресу: 628449, Ханты-Мансийский автономный округа – Югра, </w:t>
      </w:r>
      <w:proofErr w:type="spellStart"/>
      <w:r w:rsidRPr="00DE55DD">
        <w:rPr>
          <w:sz w:val="28"/>
          <w:szCs w:val="28"/>
          <w:lang w:val="ru-RU"/>
        </w:rPr>
        <w:t>Сургутский</w:t>
      </w:r>
      <w:proofErr w:type="spellEnd"/>
      <w:r w:rsidRPr="00DE55DD">
        <w:rPr>
          <w:sz w:val="28"/>
          <w:szCs w:val="28"/>
          <w:lang w:val="ru-RU"/>
        </w:rPr>
        <w:t xml:space="preserve"> район, город </w:t>
      </w:r>
      <w:proofErr w:type="spellStart"/>
      <w:r w:rsidRPr="00DE55DD">
        <w:rPr>
          <w:sz w:val="28"/>
          <w:szCs w:val="28"/>
          <w:lang w:val="ru-RU"/>
        </w:rPr>
        <w:t>Лянтор</w:t>
      </w:r>
      <w:proofErr w:type="spellEnd"/>
      <w:r w:rsidRPr="00DE55DD">
        <w:rPr>
          <w:sz w:val="28"/>
          <w:szCs w:val="28"/>
          <w:lang w:val="ru-RU"/>
        </w:rPr>
        <w:t xml:space="preserve">, 2 микрорайон, строение 42, кабинет </w:t>
      </w:r>
      <w:r w:rsidR="00C3710D" w:rsidRPr="00DE55DD">
        <w:rPr>
          <w:sz w:val="28"/>
          <w:szCs w:val="28"/>
          <w:lang w:val="ru-RU"/>
        </w:rPr>
        <w:t>203</w:t>
      </w:r>
      <w:r w:rsidRPr="00DE55DD">
        <w:rPr>
          <w:sz w:val="28"/>
          <w:szCs w:val="28"/>
          <w:lang w:val="ru-RU"/>
        </w:rPr>
        <w:t>, телефон 8(34638) 24-001 доб. 1</w:t>
      </w:r>
      <w:r w:rsidR="0083113D" w:rsidRPr="00DE55DD">
        <w:rPr>
          <w:sz w:val="28"/>
          <w:szCs w:val="28"/>
          <w:lang w:val="ru-RU"/>
        </w:rPr>
        <w:t>26</w:t>
      </w:r>
      <w:r w:rsidRPr="00DE55DD"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>6.3</w:t>
      </w:r>
      <w:r w:rsidRPr="00671390">
        <w:rPr>
          <w:color w:val="000000"/>
          <w:sz w:val="28"/>
          <w:szCs w:val="28"/>
          <w:lang w:val="ru-RU"/>
        </w:rPr>
        <w:t xml:space="preserve">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 Не позднее </w:t>
      </w:r>
      <w:r w:rsidR="00191CE1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2F1192" w:rsidRDefault="002F1192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3710D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>сматривает конкурсные проекты, формирует сводную</w:t>
      </w:r>
      <w:r w:rsidR="00B03739">
        <w:rPr>
          <w:color w:val="000000"/>
          <w:sz w:val="28"/>
          <w:szCs w:val="28"/>
          <w:lang w:val="ru-RU"/>
        </w:rPr>
        <w:t xml:space="preserve"> оценочную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B0373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Положению.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 Комиссия определяет победителей конкурса на основании сводной</w:t>
      </w:r>
      <w:r w:rsidR="00B03739">
        <w:rPr>
          <w:color w:val="000000"/>
          <w:sz w:val="28"/>
          <w:szCs w:val="28"/>
          <w:lang w:val="ru-RU"/>
        </w:rPr>
        <w:t xml:space="preserve"> 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97"/>
      </w:tblGrid>
      <w:tr w:rsidR="00671390" w:rsidTr="00B50826">
        <w:tc>
          <w:tcPr>
            <w:tcW w:w="5940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FE17CE">
            <w:pPr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FE17CE">
            <w:pPr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CA4EE6" w:rsidRDefault="00FE17CE" w:rsidP="00FE17CE">
            <w:pPr>
              <w:ind w:hanging="142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 </w:t>
            </w:r>
            <w:r w:rsidR="0099102C">
              <w:rPr>
                <w:sz w:val="24"/>
                <w:szCs w:val="24"/>
                <w:lang w:val="ru-RU" w:eastAsia="en-US"/>
              </w:rPr>
              <w:t>Приложение</w:t>
            </w:r>
            <w:r w:rsidR="00160467">
              <w:rPr>
                <w:sz w:val="24"/>
                <w:szCs w:val="24"/>
                <w:lang w:val="ru-RU" w:eastAsia="en-US"/>
              </w:rPr>
              <w:t xml:space="preserve"> </w:t>
            </w:r>
            <w:r w:rsidR="00CA4EE6">
              <w:rPr>
                <w:sz w:val="24"/>
                <w:szCs w:val="24"/>
                <w:lang w:val="ru-RU" w:eastAsia="en-US"/>
              </w:rPr>
              <w:t>1</w:t>
            </w:r>
            <w:r w:rsidR="00671390">
              <w:rPr>
                <w:sz w:val="24"/>
                <w:szCs w:val="24"/>
                <w:lang w:val="ru-RU" w:eastAsia="en-US"/>
              </w:rPr>
              <w:t xml:space="preserve">к </w:t>
            </w:r>
            <w:r w:rsidR="00CA4EE6">
              <w:rPr>
                <w:sz w:val="24"/>
                <w:szCs w:val="24"/>
                <w:lang w:val="ru-RU" w:eastAsia="en-US"/>
              </w:rPr>
              <w:t>П</w:t>
            </w:r>
            <w:r w:rsidR="00671390">
              <w:rPr>
                <w:sz w:val="24"/>
                <w:szCs w:val="24"/>
                <w:lang w:val="ru-RU" w:eastAsia="en-US"/>
              </w:rPr>
              <w:t>оложению</w:t>
            </w:r>
          </w:p>
          <w:p w:rsidR="00366FD8" w:rsidRDefault="00366FD8" w:rsidP="00B50826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Default="00671390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F76EEE">
        <w:rPr>
          <w:color w:val="000000"/>
          <w:sz w:val="24"/>
          <w:szCs w:val="24"/>
          <w:lang w:val="ru-RU"/>
        </w:rPr>
        <w:t>города</w:t>
      </w:r>
      <w:r w:rsidR="001604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65EF5">
        <w:rPr>
          <w:color w:val="000000"/>
          <w:sz w:val="24"/>
          <w:szCs w:val="24"/>
          <w:lang w:val="ru-RU"/>
        </w:rPr>
        <w:t>Лянтор</w:t>
      </w:r>
      <w:r w:rsidR="00160467">
        <w:rPr>
          <w:color w:val="000000"/>
          <w:sz w:val="24"/>
          <w:szCs w:val="24"/>
          <w:lang w:val="ru-RU"/>
        </w:rPr>
        <w:t>а</w:t>
      </w:r>
      <w:proofErr w:type="spellEnd"/>
    </w:p>
    <w:p w:rsidR="00671390" w:rsidRPr="00671390" w:rsidRDefault="0099102C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313B18"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lang w:val="ru-RU"/>
        </w:rPr>
        <w:t>_____</w:t>
      </w: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D55BE1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</w:t>
      </w:r>
    </w:p>
    <w:p w:rsidR="00D55BE1" w:rsidRDefault="00177664" w:rsidP="00177664">
      <w:pPr>
        <w:jc w:val="center"/>
        <w:rPr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 xml:space="preserve">из бюджета </w:t>
      </w:r>
      <w:r w:rsidR="00D55BE1">
        <w:rPr>
          <w:color w:val="000000"/>
          <w:sz w:val="24"/>
          <w:szCs w:val="24"/>
          <w:lang w:val="ru-RU"/>
        </w:rPr>
        <w:t xml:space="preserve">городского поселения </w:t>
      </w:r>
      <w:proofErr w:type="spellStart"/>
      <w:r w:rsidR="00D55BE1">
        <w:rPr>
          <w:color w:val="000000"/>
          <w:sz w:val="24"/>
          <w:szCs w:val="24"/>
          <w:lang w:val="ru-RU"/>
        </w:rPr>
        <w:t>Лянтор</w:t>
      </w:r>
      <w:proofErr w:type="spellEnd"/>
      <w:r w:rsidR="00160467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</w:t>
      </w:r>
    </w:p>
    <w:p w:rsidR="00DF608E" w:rsidRDefault="00366FD8" w:rsidP="00C431AF">
      <w:pPr>
        <w:jc w:val="center"/>
        <w:rPr>
          <w:sz w:val="24"/>
          <w:szCs w:val="24"/>
          <w:lang w:val="ru-RU"/>
        </w:rPr>
      </w:pPr>
      <w:proofErr w:type="spellStart"/>
      <w:r w:rsidRPr="00366FD8">
        <w:rPr>
          <w:sz w:val="24"/>
          <w:szCs w:val="24"/>
          <w:lang w:val="ru-RU"/>
        </w:rPr>
        <w:t>физкультурно</w:t>
      </w:r>
      <w:proofErr w:type="spellEnd"/>
      <w:r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DF608E" w:rsidRPr="00366FD8" w:rsidRDefault="00DF608E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9"/>
        <w:gridCol w:w="4394"/>
      </w:tblGrid>
      <w:tr w:rsidR="00177664" w:rsidRPr="00987C8E" w:rsidTr="00C431AF">
        <w:tc>
          <w:tcPr>
            <w:tcW w:w="10273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431AF">
        <w:tblPrEx>
          <w:tblBorders>
            <w:left w:val="nil"/>
            <w:right w:val="nil"/>
          </w:tblBorders>
        </w:tblPrEx>
        <w:tc>
          <w:tcPr>
            <w:tcW w:w="10273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FE17C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10" w:history="1">
              <w:r w:rsidRPr="00FE17C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E17C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51772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9A1E32" w:rsidRDefault="00177664" w:rsidP="00F02135">
      <w:pPr>
        <w:jc w:val="both"/>
        <w:rPr>
          <w:color w:val="000000"/>
          <w:sz w:val="24"/>
          <w:szCs w:val="24"/>
          <w:lang w:val="ru-RU"/>
        </w:rPr>
      </w:pPr>
      <w:bookmarkStart w:id="4" w:name="Par179"/>
      <w:bookmarkEnd w:id="4"/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873BDB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="00F02135"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177664" w:rsidRPr="00FE17CE" w:rsidRDefault="00177664" w:rsidP="00FE17CE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</w:t>
      </w:r>
      <w:r w:rsidR="00873BDB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177664" w:rsidRPr="009A1E32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244"/>
        <w:gridCol w:w="1848"/>
        <w:gridCol w:w="244"/>
        <w:gridCol w:w="2978"/>
      </w:tblGrid>
      <w:tr w:rsidR="00177664" w:rsidRPr="00C51772" w:rsidTr="00FE17CE">
        <w:trPr>
          <w:trHeight w:val="186"/>
        </w:trPr>
        <w:tc>
          <w:tcPr>
            <w:tcW w:w="4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7664" w:rsidRPr="009A1E32" w:rsidTr="00FE17CE">
        <w:trPr>
          <w:trHeight w:val="12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307E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</w:t>
            </w:r>
            <w:proofErr w:type="gramStart"/>
            <w:r w:rsidRPr="009A1E32">
              <w:rPr>
                <w:color w:val="000000"/>
                <w:lang w:val="ru-RU"/>
              </w:rPr>
              <w:t>должности  руководителя</w:t>
            </w:r>
            <w:proofErr w:type="gramEnd"/>
            <w:r w:rsidRPr="009A1E32">
              <w:rPr>
                <w:color w:val="000000"/>
                <w:lang w:val="ru-RU"/>
              </w:rPr>
              <w:t xml:space="preserve"> некоммерческой организации)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1659DC" w:rsidRPr="00FE17CE" w:rsidRDefault="00307EAB" w:rsidP="00FE17C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>__________ 20__ г.      М.П.</w:t>
      </w:r>
      <w:r w:rsidR="003B5A6C">
        <w:rPr>
          <w:rFonts w:eastAsia="Calibri"/>
          <w:sz w:val="22"/>
          <w:szCs w:val="22"/>
          <w:lang w:val="ru-RU"/>
        </w:rPr>
        <w:t xml:space="preserve"> (</w:t>
      </w:r>
      <w:r w:rsidR="003B5A6C" w:rsidRPr="003B5A6C">
        <w:rPr>
          <w:rFonts w:eastAsia="Calibri"/>
          <w:lang w:val="ru-RU"/>
        </w:rPr>
        <w:t>при наличии</w:t>
      </w:r>
      <w:r w:rsidR="003B5A6C">
        <w:rPr>
          <w:rFonts w:eastAsia="Calibri"/>
          <w:sz w:val="22"/>
          <w:szCs w:val="22"/>
          <w:lang w:val="ru-RU"/>
        </w:rPr>
        <w:t>)</w:t>
      </w:r>
    </w:p>
    <w:p w:rsidR="001659DC" w:rsidRDefault="001659D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D377B" w:rsidRDefault="00CA4EE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2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9323C6" w:rsidRDefault="009323C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F0213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873B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проект</w:t>
            </w:r>
            <w:proofErr w:type="spellEnd"/>
            <w:r w:rsidR="00F02135">
              <w:rPr>
                <w:rFonts w:eastAsia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C51772" w:rsidTr="00302069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C51772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A16EF0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C51772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060435" w:rsidRDefault="00302069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D377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C51772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C51772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27465B" w:rsidRDefault="00CA4EE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C51772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6358F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C5177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E6" w:rsidRPr="00FE28A7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3B5A6C" w:rsidRPr="009A1E32" w:rsidRDefault="003B5A6C" w:rsidP="003B5A6C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3B5A6C" w:rsidRPr="00C51772" w:rsidTr="00EC613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B5A6C" w:rsidRPr="009A1E32" w:rsidTr="00EC6132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3B5A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B5A6C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A6C" w:rsidRDefault="003B5A6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 w:rsidR="00CC0B1E">
        <w:rPr>
          <w:rFonts w:eastAsia="Calibri"/>
          <w:sz w:val="22"/>
          <w:szCs w:val="22"/>
          <w:lang w:val="ru-RU"/>
        </w:rPr>
        <w:t>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1659DC" w:rsidRDefault="001659DC" w:rsidP="00FE17CE">
      <w:pPr>
        <w:rPr>
          <w:rFonts w:eastAsia="Calibri"/>
          <w:sz w:val="24"/>
          <w:szCs w:val="24"/>
          <w:lang w:val="ru-RU"/>
        </w:rPr>
      </w:pPr>
    </w:p>
    <w:p w:rsidR="001659DC" w:rsidRDefault="001659DC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1D213A" w:rsidRDefault="001D213A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</w:t>
      </w:r>
    </w:p>
    <w:p w:rsidR="001D213A" w:rsidRDefault="001D213A" w:rsidP="001D213A">
      <w:pPr>
        <w:ind w:left="5664" w:firstLine="708"/>
        <w:jc w:val="center"/>
        <w:rPr>
          <w:color w:val="000000"/>
          <w:sz w:val="28"/>
          <w:szCs w:val="28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4247BC" w:rsidRDefault="001D213A" w:rsidP="001D213A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  <w:r w:rsidR="00A16DA3">
        <w:rPr>
          <w:sz w:val="24"/>
          <w:szCs w:val="24"/>
          <w:lang w:val="ru-RU"/>
        </w:rPr>
        <w:t>,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A16DA3" w:rsidRPr="00BA68E5" w:rsidRDefault="00A16DA3" w:rsidP="001D213A">
      <w:pPr>
        <w:tabs>
          <w:tab w:val="left" w:pos="3300"/>
        </w:tabs>
        <w:jc w:val="center"/>
        <w:rPr>
          <w:lang w:val="ru-RU"/>
        </w:rPr>
      </w:pP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п</w:t>
      </w:r>
      <w:r w:rsidR="001D213A" w:rsidRPr="00FE28A7">
        <w:rPr>
          <w:sz w:val="24"/>
          <w:szCs w:val="26"/>
          <w:lang w:val="ru-RU"/>
        </w:rPr>
        <w:t xml:space="preserve">редоставленного </w:t>
      </w: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p w:rsidR="001D213A" w:rsidRPr="00FE28A7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__________________________________________________________________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1D213A" w:rsidRPr="00FE28A7" w:rsidTr="00221406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1D213A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конкурсного проекта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FE28A7">
              <w:rPr>
                <w:sz w:val="24"/>
                <w:szCs w:val="24"/>
              </w:rPr>
              <w:t>алл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D213A" w:rsidRPr="00FE28A7" w:rsidTr="00221406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D213A" w:rsidRPr="00C51772" w:rsidTr="00221406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9C439E" w:rsidRDefault="001D213A" w:rsidP="001D213A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C51772" w:rsidTr="00221406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C51772" w:rsidTr="00221406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C51772" w:rsidTr="00221406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      (подпись)                              (расшифровка подписи)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FE17CE">
      <w:pPr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1D213A" w:rsidRPr="00060435" w:rsidRDefault="001D213A" w:rsidP="001D213A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="00A16DA3">
        <w:rPr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1D213A" w:rsidRPr="00C51772" w:rsidTr="00221406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1D213A" w:rsidRPr="00C51772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D213A" w:rsidRPr="00C51772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F76EEE" w:rsidRDefault="00F76EEE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287AB8" w:rsidRDefault="00287AB8" w:rsidP="006358FC">
      <w:pPr>
        <w:rPr>
          <w:color w:val="000000"/>
          <w:sz w:val="28"/>
          <w:szCs w:val="28"/>
          <w:lang w:val="ru-RU"/>
        </w:rPr>
      </w:pPr>
    </w:p>
    <w:p w:rsidR="00FE17CE" w:rsidRDefault="00FE17CE" w:rsidP="006358FC">
      <w:pPr>
        <w:rPr>
          <w:color w:val="000000"/>
          <w:sz w:val="28"/>
          <w:szCs w:val="28"/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9323C6" w:rsidRDefault="00C431AF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от «</w:t>
      </w:r>
      <w:r w:rsidR="00C51772">
        <w:rPr>
          <w:sz w:val="24"/>
          <w:szCs w:val="24"/>
          <w:lang w:val="ru-RU"/>
        </w:rPr>
        <w:t>07</w:t>
      </w:r>
      <w:r w:rsidR="00F76EEE" w:rsidRPr="00F76EEE">
        <w:rPr>
          <w:sz w:val="24"/>
          <w:szCs w:val="24"/>
          <w:lang w:val="ru-RU"/>
        </w:rPr>
        <w:t xml:space="preserve">» </w:t>
      </w:r>
      <w:r w:rsidR="00FE17CE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D74B4C">
        <w:rPr>
          <w:sz w:val="24"/>
          <w:szCs w:val="24"/>
          <w:lang w:val="ru-RU"/>
        </w:rPr>
        <w:t>2020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C51772">
        <w:rPr>
          <w:sz w:val="24"/>
          <w:szCs w:val="24"/>
          <w:lang w:val="ru-RU"/>
        </w:rPr>
        <w:t>1042</w:t>
      </w:r>
    </w:p>
    <w:p w:rsidR="00CC0B1E" w:rsidRDefault="00CC0B1E" w:rsidP="00CC0B1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</w:t>
      </w:r>
      <w:r w:rsidR="00D6109C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D6109C" w:rsidRPr="007E171F">
        <w:rPr>
          <w:sz w:val="28"/>
          <w:szCs w:val="28"/>
          <w:lang w:val="ru-RU"/>
        </w:rPr>
        <w:t>физкультурно</w:t>
      </w:r>
      <w:proofErr w:type="spellEnd"/>
      <w:r w:rsidR="00D6109C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</w:p>
    <w:p w:rsidR="00D6109C" w:rsidRPr="00671390" w:rsidRDefault="00D6109C" w:rsidP="00671390">
      <w:pPr>
        <w:jc w:val="center"/>
        <w:rPr>
          <w:color w:val="000000"/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секретарь 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160467">
        <w:rPr>
          <w:sz w:val="28"/>
          <w:szCs w:val="28"/>
          <w:lang w:val="ru-RU"/>
        </w:rPr>
        <w:t xml:space="preserve">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D213A" w:rsidSect="00287AB8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4500A"/>
    <w:rsid w:val="0004621C"/>
    <w:rsid w:val="00060435"/>
    <w:rsid w:val="0007132E"/>
    <w:rsid w:val="00073759"/>
    <w:rsid w:val="00097313"/>
    <w:rsid w:val="000A1A96"/>
    <w:rsid w:val="000B361C"/>
    <w:rsid w:val="000D0AF6"/>
    <w:rsid w:val="00101462"/>
    <w:rsid w:val="00125680"/>
    <w:rsid w:val="001509C7"/>
    <w:rsid w:val="00160467"/>
    <w:rsid w:val="001659DC"/>
    <w:rsid w:val="0016725B"/>
    <w:rsid w:val="0017732F"/>
    <w:rsid w:val="00177664"/>
    <w:rsid w:val="00191CE1"/>
    <w:rsid w:val="001A5F32"/>
    <w:rsid w:val="001D213A"/>
    <w:rsid w:val="001E74DF"/>
    <w:rsid w:val="001F0B78"/>
    <w:rsid w:val="001F49D7"/>
    <w:rsid w:val="002032B1"/>
    <w:rsid w:val="002149FC"/>
    <w:rsid w:val="0022137A"/>
    <w:rsid w:val="00244A17"/>
    <w:rsid w:val="00265C82"/>
    <w:rsid w:val="00271CDD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56438"/>
    <w:rsid w:val="00366FD8"/>
    <w:rsid w:val="00384A15"/>
    <w:rsid w:val="00391E2A"/>
    <w:rsid w:val="003A56D7"/>
    <w:rsid w:val="003B3777"/>
    <w:rsid w:val="003B5A6C"/>
    <w:rsid w:val="003C3165"/>
    <w:rsid w:val="003C3AC2"/>
    <w:rsid w:val="003D4D44"/>
    <w:rsid w:val="003F0E2B"/>
    <w:rsid w:val="00405F74"/>
    <w:rsid w:val="0041361C"/>
    <w:rsid w:val="0048479D"/>
    <w:rsid w:val="004B22DA"/>
    <w:rsid w:val="004B4D43"/>
    <w:rsid w:val="004E1378"/>
    <w:rsid w:val="004E7E83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1390"/>
    <w:rsid w:val="006732AA"/>
    <w:rsid w:val="00691B41"/>
    <w:rsid w:val="006B57AC"/>
    <w:rsid w:val="006D4CDD"/>
    <w:rsid w:val="006F0E99"/>
    <w:rsid w:val="006F7DB9"/>
    <w:rsid w:val="00741241"/>
    <w:rsid w:val="00753DFD"/>
    <w:rsid w:val="00783B0E"/>
    <w:rsid w:val="007A1195"/>
    <w:rsid w:val="007B2954"/>
    <w:rsid w:val="007D4A5D"/>
    <w:rsid w:val="007E171F"/>
    <w:rsid w:val="008051E5"/>
    <w:rsid w:val="0082141C"/>
    <w:rsid w:val="0083113D"/>
    <w:rsid w:val="00865EF5"/>
    <w:rsid w:val="00873BDB"/>
    <w:rsid w:val="009323C6"/>
    <w:rsid w:val="00937132"/>
    <w:rsid w:val="00953B02"/>
    <w:rsid w:val="0099102C"/>
    <w:rsid w:val="009A0414"/>
    <w:rsid w:val="009B1F93"/>
    <w:rsid w:val="009C2EE4"/>
    <w:rsid w:val="009E597A"/>
    <w:rsid w:val="00A1171D"/>
    <w:rsid w:val="00A16DA3"/>
    <w:rsid w:val="00A22DCB"/>
    <w:rsid w:val="00A35B59"/>
    <w:rsid w:val="00A62D52"/>
    <w:rsid w:val="00AA6915"/>
    <w:rsid w:val="00AC40FC"/>
    <w:rsid w:val="00AF5313"/>
    <w:rsid w:val="00AF59D3"/>
    <w:rsid w:val="00B03739"/>
    <w:rsid w:val="00B35ABD"/>
    <w:rsid w:val="00B50826"/>
    <w:rsid w:val="00B520F3"/>
    <w:rsid w:val="00B65264"/>
    <w:rsid w:val="00B83623"/>
    <w:rsid w:val="00B90587"/>
    <w:rsid w:val="00B97C15"/>
    <w:rsid w:val="00BA7883"/>
    <w:rsid w:val="00BB04D4"/>
    <w:rsid w:val="00BE5B2D"/>
    <w:rsid w:val="00C04E69"/>
    <w:rsid w:val="00C1525D"/>
    <w:rsid w:val="00C3710D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A4EE6"/>
    <w:rsid w:val="00CB09D8"/>
    <w:rsid w:val="00CC0B1E"/>
    <w:rsid w:val="00CD143F"/>
    <w:rsid w:val="00CD400B"/>
    <w:rsid w:val="00CE45E5"/>
    <w:rsid w:val="00CF2314"/>
    <w:rsid w:val="00CF590C"/>
    <w:rsid w:val="00D250E5"/>
    <w:rsid w:val="00D35B60"/>
    <w:rsid w:val="00D41CB7"/>
    <w:rsid w:val="00D55BE1"/>
    <w:rsid w:val="00D6109C"/>
    <w:rsid w:val="00D74B4C"/>
    <w:rsid w:val="00D86B4B"/>
    <w:rsid w:val="00DB65A6"/>
    <w:rsid w:val="00DB6977"/>
    <w:rsid w:val="00DD4311"/>
    <w:rsid w:val="00DE211D"/>
    <w:rsid w:val="00DE48AA"/>
    <w:rsid w:val="00DE55DD"/>
    <w:rsid w:val="00DF608E"/>
    <w:rsid w:val="00E022A5"/>
    <w:rsid w:val="00E13E3E"/>
    <w:rsid w:val="00E91465"/>
    <w:rsid w:val="00EA0D5E"/>
    <w:rsid w:val="00EB02A4"/>
    <w:rsid w:val="00ED1E9D"/>
    <w:rsid w:val="00EE3E18"/>
    <w:rsid w:val="00EE7CC4"/>
    <w:rsid w:val="00F02135"/>
    <w:rsid w:val="00F1250E"/>
    <w:rsid w:val="00F23896"/>
    <w:rsid w:val="00F53B14"/>
    <w:rsid w:val="00F54597"/>
    <w:rsid w:val="00F74655"/>
    <w:rsid w:val="00F76EEE"/>
    <w:rsid w:val="00FA59FE"/>
    <w:rsid w:val="00FB15F9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BDD8B7DBD822DE78B9E402CF5B7160509108B3F261CA5E26210D832sFU1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F43B-82EC-4272-9918-1BB90A10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12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100</cp:revision>
  <cp:lastPrinted>2020-12-08T06:56:00Z</cp:lastPrinted>
  <dcterms:created xsi:type="dcterms:W3CDTF">2018-07-18T03:46:00Z</dcterms:created>
  <dcterms:modified xsi:type="dcterms:W3CDTF">2020-12-08T06:56:00Z</dcterms:modified>
</cp:coreProperties>
</file>