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части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911C0D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911C0D" w:rsidRDefault="00307107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11C0D">
        <w:rPr>
          <w:rFonts w:ascii="Times New Roman" w:hAnsi="Times New Roman" w:cs="Times New Roman"/>
          <w:sz w:val="28"/>
          <w:szCs w:val="28"/>
        </w:rPr>
        <w:t>На основании Федерального закона от 06</w:t>
      </w:r>
      <w:r w:rsidR="009B1BB7" w:rsidRPr="00911C0D">
        <w:rPr>
          <w:rFonts w:ascii="Times New Roman" w:hAnsi="Times New Roman" w:cs="Times New Roman"/>
          <w:sz w:val="28"/>
          <w:szCs w:val="28"/>
        </w:rPr>
        <w:t>.10.</w:t>
      </w:r>
      <w:r w:rsidRPr="00911C0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285DCF" w:rsidRPr="00911C0D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911C0D">
        <w:rPr>
          <w:rFonts w:ascii="Times New Roman" w:hAnsi="Times New Roman" w:cs="Times New Roman"/>
          <w:sz w:val="28"/>
          <w:szCs w:val="28"/>
        </w:rPr>
        <w:t>:</w:t>
      </w:r>
    </w:p>
    <w:p w:rsidR="00E5365E" w:rsidRPr="00911C0D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A7D" w:rsidRPr="00911C0D" w:rsidRDefault="00E5365E" w:rsidP="00AC2B2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7107" w:rsidRPr="00911C0D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 w:rsidR="00AC2B23" w:rsidRPr="00A6297F">
        <w:rPr>
          <w:rFonts w:ascii="Times New Roman" w:hAnsi="Times New Roman"/>
          <w:sz w:val="28"/>
          <w:szCs w:val="28"/>
        </w:rPr>
        <w:t xml:space="preserve">Утвердить </w:t>
      </w:r>
      <w:r w:rsidR="00AC2B23">
        <w:rPr>
          <w:rFonts w:ascii="Times New Roman" w:hAnsi="Times New Roman"/>
          <w:sz w:val="28"/>
          <w:szCs w:val="28"/>
        </w:rPr>
        <w:t>П</w:t>
      </w:r>
      <w:r w:rsidR="00AC2B23" w:rsidRPr="00A6297F">
        <w:rPr>
          <w:rFonts w:ascii="Times New Roman" w:hAnsi="Times New Roman"/>
          <w:sz w:val="28"/>
          <w:szCs w:val="28"/>
        </w:rPr>
        <w:t xml:space="preserve">орядок </w:t>
      </w:r>
      <w:r w:rsidR="00AC2B23">
        <w:rPr>
          <w:rFonts w:ascii="Times New Roman" w:hAnsi="Times New Roman"/>
          <w:sz w:val="28"/>
          <w:szCs w:val="28"/>
        </w:rPr>
        <w:t xml:space="preserve">определения части территории городского поселения </w:t>
      </w:r>
      <w:proofErr w:type="spellStart"/>
      <w:r w:rsid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="00AC2B23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</w:t>
      </w:r>
      <w:r w:rsidR="00AC2B23" w:rsidRPr="00A6297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C2B23" w:rsidRPr="00911C0D">
        <w:rPr>
          <w:rFonts w:ascii="Times New Roman" w:hAnsi="Times New Roman" w:cs="Times New Roman"/>
          <w:sz w:val="28"/>
          <w:szCs w:val="28"/>
        </w:rPr>
        <w:t xml:space="preserve"> </w:t>
      </w:r>
      <w:r w:rsidR="00307107" w:rsidRPr="00911C0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C7A7D" w:rsidRPr="00911C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37EF8" w:rsidRPr="00911C0D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Pr="00911C0D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B1BB7" w:rsidRPr="00911C0D">
        <w:rPr>
          <w:rFonts w:ascii="Times New Roman" w:hAnsi="Times New Roman" w:cs="Times New Roman"/>
          <w:sz w:val="28"/>
          <w:szCs w:val="28"/>
        </w:rPr>
        <w:t>Решение вступает в силу после его об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на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родования, но не ранее 01.01.2021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912"/>
      </w:tblGrid>
      <w:tr w:rsidR="004A5C4F" w:rsidRPr="00911C0D" w:rsidTr="00AA643D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AA643D" w:rsidP="00AA643D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AA643D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AA643D" w:rsidP="00AA643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Л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Зеленская</w:t>
            </w:r>
          </w:p>
        </w:tc>
      </w:tr>
      <w:tr w:rsidR="004A5C4F" w:rsidRPr="00911C0D" w:rsidTr="00AA643D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Pr="00911C0D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27F" w:rsidRPr="00911C0D" w:rsidRDefault="0087627F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27F" w:rsidRPr="00911C0D" w:rsidRDefault="0087627F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27F" w:rsidRPr="00911C0D" w:rsidRDefault="0087627F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27F" w:rsidRPr="00911C0D" w:rsidRDefault="0087627F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27F" w:rsidRDefault="0087627F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1C0D" w:rsidRDefault="00911C0D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1C0D" w:rsidRDefault="00911C0D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AC2B23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lastRenderedPageBreak/>
        <w:t>Исполн</w:t>
      </w:r>
      <w:r w:rsidRPr="00AC2B23">
        <w:rPr>
          <w:rFonts w:ascii="Times New Roman" w:hAnsi="Times New Roman" w:cs="Times New Roman"/>
          <w:sz w:val="24"/>
          <w:szCs w:val="24"/>
        </w:rPr>
        <w:t>итель:</w:t>
      </w:r>
    </w:p>
    <w:p w:rsidR="007F1151" w:rsidRPr="00AC2B23" w:rsidRDefault="0087627F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AC2B23">
        <w:rPr>
          <w:rFonts w:ascii="Times New Roman" w:hAnsi="Times New Roman" w:cs="Times New Roman"/>
          <w:sz w:val="24"/>
          <w:szCs w:val="24"/>
        </w:rPr>
        <w:t>_______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___ </w:t>
      </w:r>
      <w:r w:rsidRPr="00AC2B23">
        <w:rPr>
          <w:rFonts w:ascii="Times New Roman" w:hAnsi="Times New Roman" w:cs="Times New Roman"/>
          <w:sz w:val="24"/>
          <w:szCs w:val="24"/>
        </w:rPr>
        <w:t>Э.А. Пархоменко</w:t>
      </w:r>
      <w:r w:rsidR="00BA0B69" w:rsidRPr="00AC2B23">
        <w:rPr>
          <w:rFonts w:ascii="Times New Roman" w:hAnsi="Times New Roman" w:cs="Times New Roman"/>
          <w:sz w:val="24"/>
          <w:szCs w:val="24"/>
        </w:rPr>
        <w:t>,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Pr="00AC2B23">
        <w:rPr>
          <w:rFonts w:ascii="Times New Roman" w:hAnsi="Times New Roman" w:cs="Times New Roman"/>
          <w:sz w:val="24"/>
          <w:szCs w:val="24"/>
        </w:rPr>
        <w:t>04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0</w:t>
      </w:r>
      <w:r w:rsidRPr="00AC2B23">
        <w:rPr>
          <w:rFonts w:ascii="Times New Roman" w:hAnsi="Times New Roman" w:cs="Times New Roman"/>
          <w:sz w:val="24"/>
          <w:szCs w:val="24"/>
        </w:rPr>
        <w:t>9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2020</w:t>
      </w:r>
      <w:r w:rsidR="007F1151" w:rsidRPr="00AC2B2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AC2B2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AC2B23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AC2B23">
        <w:rPr>
          <w:rFonts w:ascii="Times New Roman" w:hAnsi="Times New Roman" w:cs="Times New Roman"/>
          <w:sz w:val="24"/>
          <w:szCs w:val="24"/>
        </w:rPr>
        <w:t>1</w:t>
      </w:r>
      <w:r w:rsidRPr="00AC2B23">
        <w:rPr>
          <w:rFonts w:ascii="Times New Roman" w:hAnsi="Times New Roman" w:cs="Times New Roman"/>
          <w:sz w:val="24"/>
          <w:szCs w:val="24"/>
        </w:rPr>
        <w:t>62</w:t>
      </w:r>
      <w:r w:rsidR="007F1151" w:rsidRPr="00AC2B23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A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AC2B23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AC2B23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AC2B23" w:rsidTr="00740166">
        <w:tc>
          <w:tcPr>
            <w:tcW w:w="385" w:type="pct"/>
            <w:vMerge w:val="restart"/>
            <w:vAlign w:val="center"/>
          </w:tcPr>
          <w:p w:rsidR="009F761D" w:rsidRPr="00AC2B23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AC2B23" w:rsidTr="00740166">
        <w:tc>
          <w:tcPr>
            <w:tcW w:w="385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AC2B23" w:rsidTr="00740166">
        <w:tc>
          <w:tcPr>
            <w:tcW w:w="38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2150" w:rsidRPr="00AC2B23" w:rsidTr="00740166">
        <w:tc>
          <w:tcPr>
            <w:tcW w:w="385" w:type="pct"/>
            <w:vAlign w:val="center"/>
          </w:tcPr>
          <w:p w:rsidR="00422150" w:rsidRPr="00AC2B23" w:rsidRDefault="00622363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22150" w:rsidRPr="00AC2B23" w:rsidRDefault="00622363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87627F" w:rsidP="00622363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457BB9" w:rsidRPr="00AC2B23" w:rsidRDefault="0087627F" w:rsidP="0087627F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C2B23"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6" w:type="pct"/>
          </w:tcPr>
          <w:p w:rsidR="00457BB9" w:rsidRPr="00AC2B23" w:rsidRDefault="0087627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AC2B23" w:rsidTr="00740166">
        <w:tc>
          <w:tcPr>
            <w:tcW w:w="385" w:type="pct"/>
            <w:vAlign w:val="center"/>
          </w:tcPr>
          <w:p w:rsidR="003C6D5A" w:rsidRPr="00AC2B23" w:rsidRDefault="00622363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299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AC2B23" w:rsidRDefault="0087627F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AC2B23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0" w:name="Par23"/>
      <w:bookmarkEnd w:id="0"/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Pr="00AC2B23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622363" w:rsidRDefault="00622363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911C0D" w:rsidRPr="00AC2B23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AC2B23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911C0D" w:rsidRPr="00AC2B23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AC2B23">
        <w:rPr>
          <w:rFonts w:ascii="Times New Roman" w:hAnsi="Times New Roman" w:cs="Times New Roman"/>
        </w:rPr>
        <w:t xml:space="preserve">Совета депутатов городского поселения </w:t>
      </w:r>
      <w:proofErr w:type="spellStart"/>
      <w:r w:rsidRPr="00AC2B23">
        <w:rPr>
          <w:rFonts w:ascii="Times New Roman" w:hAnsi="Times New Roman" w:cs="Times New Roman"/>
        </w:rPr>
        <w:t>Лянтор</w:t>
      </w:r>
      <w:proofErr w:type="spellEnd"/>
      <w:r w:rsidRPr="00AC2B23">
        <w:rPr>
          <w:rFonts w:ascii="Times New Roman" w:hAnsi="Times New Roman" w:cs="Times New Roman"/>
        </w:rPr>
        <w:t xml:space="preserve"> </w:t>
      </w:r>
    </w:p>
    <w:p w:rsidR="00911C0D" w:rsidRPr="00AC2B23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AC2B23">
        <w:rPr>
          <w:rFonts w:ascii="Times New Roman" w:hAnsi="Times New Roman" w:cs="Times New Roman"/>
        </w:rPr>
        <w:t>от «____» ___________ 2020 года № ______</w:t>
      </w:r>
    </w:p>
    <w:p w:rsidR="00911C0D" w:rsidRPr="00AC2B23" w:rsidRDefault="00911C0D" w:rsidP="00911C0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C0D" w:rsidRPr="00AC2B23" w:rsidRDefault="00911C0D" w:rsidP="00911C0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B23" w:rsidRPr="00AC2B23" w:rsidRDefault="00AC2B23" w:rsidP="00AC2B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>Порядок</w:t>
      </w:r>
    </w:p>
    <w:p w:rsidR="00AC2B23" w:rsidRPr="00AC2B23" w:rsidRDefault="00AC2B23" w:rsidP="00AC2B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</w:t>
      </w:r>
    </w:p>
    <w:p w:rsidR="00AC2B23" w:rsidRPr="00AC2B23" w:rsidRDefault="00AC2B23" w:rsidP="00AC2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2B23" w:rsidRPr="00AC2B23" w:rsidRDefault="00AC2B23" w:rsidP="00AC2B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2B23" w:rsidRPr="00AC2B23" w:rsidRDefault="00AC2B23" w:rsidP="00AC2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2B23" w:rsidRDefault="00AC2B23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2B2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AC2B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AC2B23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в целях учёта мнения всех заинтересованных лиц.</w:t>
      </w:r>
    </w:p>
    <w:p w:rsidR="00AC2B23" w:rsidRPr="00AC2B23" w:rsidRDefault="00AC2B23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C2B2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C2B23" w:rsidRPr="00AC2B23" w:rsidRDefault="00E21DA1" w:rsidP="00AC2B23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 xml:space="preserve">, инициаторами проектов в целях реализации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 xml:space="preserve">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 xml:space="preserve">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2B23">
        <w:rPr>
          <w:rFonts w:ascii="Times New Roman" w:hAnsi="Times New Roman" w:cs="Times New Roman"/>
          <w:sz w:val="28"/>
          <w:szCs w:val="28"/>
        </w:rPr>
        <w:t xml:space="preserve">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;</w:t>
      </w:r>
    </w:p>
    <w:p w:rsidR="00AC2B23" w:rsidRPr="00AC2B23" w:rsidRDefault="00E21DA1" w:rsidP="00E21DA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B23" w:rsidRPr="00AC2B23">
        <w:rPr>
          <w:rFonts w:ascii="Times New Roman" w:hAnsi="Times New Roman" w:cs="Times New Roman"/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AC2B23" w:rsidRPr="00AC2B23">
        <w:rPr>
          <w:rFonts w:ascii="Times New Roman" w:hAnsi="Times New Roman" w:cs="Times New Roman"/>
          <w:sz w:val="28"/>
          <w:szCs w:val="28"/>
        </w:rPr>
        <w:t>2003</w:t>
      </w:r>
      <w:r w:rsidR="00AC2B23" w:rsidRPr="00AC2B2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;</w:t>
      </w:r>
    </w:p>
    <w:p w:rsidR="00AC2B23" w:rsidRPr="00AC2B23" w:rsidRDefault="00E21DA1" w:rsidP="00AC2B23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723D5">
        <w:rPr>
          <w:rFonts w:ascii="Times New Roman" w:hAnsi="Times New Roman" w:cs="Times New Roman"/>
          <w:sz w:val="28"/>
          <w:szCs w:val="28"/>
        </w:rPr>
        <w:t xml:space="preserve"> (далее - Администрация города)</w:t>
      </w:r>
      <w:r>
        <w:rPr>
          <w:rFonts w:ascii="Times New Roman" w:hAnsi="Times New Roman" w:cs="Times New Roman"/>
          <w:sz w:val="28"/>
          <w:szCs w:val="28"/>
        </w:rPr>
        <w:t>, ответственное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.</w:t>
      </w:r>
    </w:p>
    <w:p w:rsidR="00AC2B23" w:rsidRPr="00AC2B23" w:rsidRDefault="00AC2B23" w:rsidP="00AC2B2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B23" w:rsidRPr="00AC2B23" w:rsidRDefault="00AC2B23" w:rsidP="00E21DA1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 xml:space="preserve">2. Определение части территории </w:t>
      </w:r>
      <w:r w:rsidR="00E21D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21D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 xml:space="preserve">, </w:t>
      </w:r>
      <w:r w:rsidR="00E21DA1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</w:p>
    <w:p w:rsidR="00AC2B23" w:rsidRPr="00AC2B23" w:rsidRDefault="00AC2B23" w:rsidP="00AC2B2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1DA1" w:rsidRDefault="00E21DA1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1. Часть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</w:t>
      </w:r>
      <w:r>
        <w:rPr>
          <w:rFonts w:ascii="Times New Roman" w:hAnsi="Times New Roman" w:cs="Times New Roman"/>
          <w:sz w:val="28"/>
          <w:szCs w:val="28"/>
        </w:rPr>
        <w:t>устанавливается постановлением Г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12599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C2B23" w:rsidRPr="00AC2B23">
        <w:rPr>
          <w:rFonts w:ascii="Times New Roman" w:hAnsi="Times New Roman" w:cs="Times New Roman"/>
          <w:sz w:val="28"/>
          <w:szCs w:val="28"/>
        </w:rPr>
        <w:t>.</w:t>
      </w:r>
    </w:p>
    <w:p w:rsidR="00AC2B23" w:rsidRDefault="00E21DA1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6723D5">
        <w:rPr>
          <w:rFonts w:ascii="Times New Roman" w:hAnsi="Times New Roman" w:cs="Times New Roman"/>
          <w:sz w:val="28"/>
          <w:szCs w:val="28"/>
        </w:rPr>
        <w:t>А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723D5">
        <w:rPr>
          <w:rFonts w:ascii="Times New Roman" w:hAnsi="Times New Roman" w:cs="Times New Roman"/>
          <w:sz w:val="28"/>
          <w:szCs w:val="28"/>
        </w:rPr>
        <w:t>города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направляется информация об инициативном проекте до </w:t>
      </w:r>
      <w:r w:rsidR="00AC2B23" w:rsidRPr="00AC2B23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6723D5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 w:rsidR="006723D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.</w:t>
      </w:r>
    </w:p>
    <w:p w:rsidR="00AC2B23" w:rsidRDefault="006723D5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2B23" w:rsidRPr="00AC2B23">
        <w:rPr>
          <w:rFonts w:ascii="Times New Roman" w:hAnsi="Times New Roman" w:cs="Times New Roman"/>
          <w:sz w:val="28"/>
          <w:szCs w:val="28"/>
        </w:rPr>
        <w:t>Информация об инициативном проекте включает в себя:</w:t>
      </w:r>
    </w:p>
    <w:p w:rsidR="00AC2B23" w:rsidRPr="00AC2B23" w:rsidRDefault="00AC2B23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C2B23" w:rsidRPr="00AC2B23" w:rsidRDefault="00AC2B23" w:rsidP="00AC2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 w:rsidR="006723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723D5" w:rsidRPr="00AC2B23">
        <w:rPr>
          <w:rFonts w:ascii="Times New Roman" w:hAnsi="Times New Roman" w:cs="Times New Roman"/>
          <w:sz w:val="28"/>
          <w:szCs w:val="28"/>
        </w:rPr>
        <w:t xml:space="preserve"> </w:t>
      </w:r>
      <w:r w:rsidRPr="00AC2B23">
        <w:rPr>
          <w:rFonts w:ascii="Times New Roman" w:hAnsi="Times New Roman" w:cs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 w:rsidR="006723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723D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>, на исполнение которых направлен инициативный проект;</w:t>
      </w:r>
    </w:p>
    <w:p w:rsidR="00AC2B23" w:rsidRPr="00AC2B23" w:rsidRDefault="00AC2B23" w:rsidP="00AC2B23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AC2B23" w:rsidRPr="00AC2B23" w:rsidRDefault="00AC2B23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</w:t>
      </w:r>
      <w:r w:rsidR="00C905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05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проекты;</w:t>
      </w:r>
    </w:p>
    <w:p w:rsidR="00AC2B23" w:rsidRDefault="00AC2B23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AC2B23" w:rsidRDefault="009C503F" w:rsidP="00AC2B23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внесения в А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информации об инициативном проекте 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её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курирующих соответствующие </w:t>
      </w:r>
      <w:r w:rsidR="00112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23" w:rsidRPr="00AC2B23" w:rsidRDefault="00112599" w:rsidP="0011259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Структурные подразделения Администрации 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подготовку и направление в адрес уполномоченного органа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2B23" w:rsidRPr="00AC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предполагаемой территории, на которой возможно и целесообразно реализовывать инициативный проект</w:t>
      </w:r>
      <w:r w:rsidR="00AC2B23" w:rsidRPr="00AC2B23">
        <w:rPr>
          <w:rFonts w:ascii="Times New Roman" w:hAnsi="Times New Roman" w:cs="Times New Roman"/>
          <w:sz w:val="28"/>
          <w:szCs w:val="28"/>
        </w:rPr>
        <w:t>.</w:t>
      </w:r>
    </w:p>
    <w:p w:rsidR="00AC2B23" w:rsidRDefault="00AC2B23" w:rsidP="00AC2B23">
      <w:pPr>
        <w:tabs>
          <w:tab w:val="left" w:pos="709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</w:t>
      </w:r>
      <w:r w:rsidR="0011259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AC2B23">
        <w:rPr>
          <w:rFonts w:ascii="Times New Roman" w:hAnsi="Times New Roman" w:cs="Times New Roman"/>
          <w:sz w:val="28"/>
          <w:szCs w:val="28"/>
        </w:rPr>
        <w:t xml:space="preserve"> </w:t>
      </w:r>
      <w:r w:rsidR="00112599">
        <w:rPr>
          <w:rFonts w:ascii="Times New Roman" w:hAnsi="Times New Roman" w:cs="Times New Roman"/>
          <w:sz w:val="28"/>
          <w:szCs w:val="28"/>
        </w:rPr>
        <w:t>А</w:t>
      </w:r>
      <w:r w:rsidRPr="00AC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2599">
        <w:rPr>
          <w:rFonts w:ascii="Times New Roman" w:hAnsi="Times New Roman" w:cs="Times New Roman"/>
          <w:sz w:val="28"/>
          <w:szCs w:val="28"/>
        </w:rPr>
        <w:t>города</w:t>
      </w:r>
      <w:r w:rsidRPr="00AC2B23">
        <w:rPr>
          <w:rFonts w:ascii="Times New Roman" w:hAnsi="Times New Roman" w:cs="Times New Roman"/>
          <w:sz w:val="28"/>
          <w:szCs w:val="28"/>
        </w:rPr>
        <w:t>.</w:t>
      </w:r>
    </w:p>
    <w:p w:rsidR="00AC2B23" w:rsidRDefault="00112599" w:rsidP="00AC2B23">
      <w:pPr>
        <w:tabs>
          <w:tab w:val="left" w:pos="709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Уполномоченный орган с учётом поступивших рекомендаций, подготавливает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, на которой может реали</w:t>
      </w:r>
      <w:r>
        <w:rPr>
          <w:rFonts w:ascii="Times New Roman" w:hAnsi="Times New Roman" w:cs="Times New Roman"/>
          <w:sz w:val="28"/>
          <w:szCs w:val="28"/>
        </w:rPr>
        <w:t>зовываться инициативный проект.</w:t>
      </w:r>
    </w:p>
    <w:p w:rsidR="00911C0D" w:rsidRPr="00AC2B23" w:rsidRDefault="00112599" w:rsidP="00112599">
      <w:pPr>
        <w:tabs>
          <w:tab w:val="left" w:pos="709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Копия постановления Г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AC2B23" w:rsidRPr="00AC2B23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C2B23" w:rsidRPr="00AC2B2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</w:t>
      </w:r>
      <w:r w:rsidR="006723D5">
        <w:rPr>
          <w:rFonts w:ascii="Times New Roman" w:hAnsi="Times New Roman" w:cs="Times New Roman"/>
          <w:sz w:val="28"/>
          <w:szCs w:val="28"/>
        </w:rPr>
        <w:t>роекте.</w:t>
      </w:r>
    </w:p>
    <w:p w:rsidR="00911C0D" w:rsidRPr="00AC2B23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C0D" w:rsidRPr="00AC2B23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C0D" w:rsidRPr="00AC2B23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5D" w:rsidRPr="00AC2B2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C83" w:rsidRPr="00D72B39" w:rsidRDefault="00E87F85" w:rsidP="004C5C8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2B23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br/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части территории </w:t>
      </w:r>
      <w:r w:rsidR="004C5C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C5C8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проекты»</w:t>
      </w:r>
    </w:p>
    <w:p w:rsidR="00D67BFC" w:rsidRPr="00AC2B23" w:rsidRDefault="00D67BFC" w:rsidP="004C5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AC2B23" w:rsidRDefault="00D67BFC" w:rsidP="00D6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FC" w:rsidRPr="00AC2B23" w:rsidRDefault="00D67BFC" w:rsidP="004C5C8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городского поселения </w:t>
      </w:r>
      <w:proofErr w:type="spellStart"/>
      <w:r w:rsidR="00E31D76" w:rsidRPr="00AC2B23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1D76" w:rsidRPr="00AC2B23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исполнения требований Федерального закона от 20.07.2020 </w:t>
      </w:r>
      <w:r w:rsidR="00E31D76" w:rsidRPr="00AC2B23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AC2B23">
        <w:rPr>
          <w:rFonts w:ascii="Times New Roman" w:eastAsia="Calibri" w:hAnsi="Times New Roman" w:cs="Times New Roman"/>
          <w:iCs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AC2B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5C83" w:rsidRPr="00562CC6" w:rsidRDefault="004C5C83" w:rsidP="004C5C8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Вышеуказанным</w:t>
      </w:r>
      <w:r w:rsidR="00E31D76" w:rsidRPr="00AC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BFC" w:rsidRPr="00AC2B23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A6F0E">
        <w:rPr>
          <w:rFonts w:ascii="Times New Roman" w:eastAsia="Calibri" w:hAnsi="Times New Roman" w:cs="Times New Roman"/>
          <w:sz w:val="28"/>
          <w:szCs w:val="28"/>
        </w:rPr>
        <w:t>м</w:t>
      </w:r>
      <w:r w:rsidR="00D67BFC" w:rsidRPr="00AC2B2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A6F0E">
        <w:rPr>
          <w:rFonts w:ascii="Times New Roman" w:eastAsia="Calibri" w:hAnsi="Times New Roman" w:cs="Times New Roman"/>
          <w:sz w:val="28"/>
          <w:szCs w:val="28"/>
        </w:rPr>
        <w:t>ом</w:t>
      </w:r>
      <w:r w:rsidR="00D67BFC" w:rsidRPr="00AC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установлена обязанность органов местного самоуправления определить территории, на которых могут реализовываться инициативные проекты.  </w:t>
      </w:r>
    </w:p>
    <w:p w:rsidR="001E5752" w:rsidRPr="00AC2B23" w:rsidRDefault="001E5752" w:rsidP="004C5C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E5752" w:rsidRPr="00AC2B23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юридического отдела</w:t>
      </w:r>
      <w:r w:rsidRPr="001E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Э.А. Пархоменко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BF" w:rsidRDefault="005C41BF" w:rsidP="0067752D">
      <w:r>
        <w:separator/>
      </w:r>
    </w:p>
  </w:endnote>
  <w:endnote w:type="continuationSeparator" w:id="0">
    <w:p w:rsidR="005C41BF" w:rsidRDefault="005C41BF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BF" w:rsidRDefault="005C41BF" w:rsidP="0067752D">
      <w:r>
        <w:separator/>
      </w:r>
    </w:p>
  </w:footnote>
  <w:footnote w:type="continuationSeparator" w:id="0">
    <w:p w:rsidR="005C41BF" w:rsidRDefault="005C41BF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2599"/>
    <w:rsid w:val="00114E20"/>
    <w:rsid w:val="0011549B"/>
    <w:rsid w:val="00117197"/>
    <w:rsid w:val="00123308"/>
    <w:rsid w:val="00130528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376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2B99"/>
    <w:rsid w:val="004973F0"/>
    <w:rsid w:val="004A1B29"/>
    <w:rsid w:val="004A3BA3"/>
    <w:rsid w:val="004A5C4F"/>
    <w:rsid w:val="004B10D5"/>
    <w:rsid w:val="004B3216"/>
    <w:rsid w:val="004B4C57"/>
    <w:rsid w:val="004C2866"/>
    <w:rsid w:val="004C5C83"/>
    <w:rsid w:val="004D2D71"/>
    <w:rsid w:val="004E216E"/>
    <w:rsid w:val="004E3F06"/>
    <w:rsid w:val="004E6C02"/>
    <w:rsid w:val="004F27BD"/>
    <w:rsid w:val="004F5003"/>
    <w:rsid w:val="004F71E2"/>
    <w:rsid w:val="00511707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6C60"/>
    <w:rsid w:val="00572F4A"/>
    <w:rsid w:val="00584A7A"/>
    <w:rsid w:val="0058584C"/>
    <w:rsid w:val="00595309"/>
    <w:rsid w:val="00596693"/>
    <w:rsid w:val="005A035D"/>
    <w:rsid w:val="005A35D4"/>
    <w:rsid w:val="005A4113"/>
    <w:rsid w:val="005A7244"/>
    <w:rsid w:val="005B214D"/>
    <w:rsid w:val="005C41BF"/>
    <w:rsid w:val="005C77D2"/>
    <w:rsid w:val="005D63C3"/>
    <w:rsid w:val="005D716E"/>
    <w:rsid w:val="005E1098"/>
    <w:rsid w:val="005E6586"/>
    <w:rsid w:val="005E7A8D"/>
    <w:rsid w:val="006006BC"/>
    <w:rsid w:val="00600D2D"/>
    <w:rsid w:val="00604695"/>
    <w:rsid w:val="006050AE"/>
    <w:rsid w:val="00615138"/>
    <w:rsid w:val="0062171C"/>
    <w:rsid w:val="00622363"/>
    <w:rsid w:val="0062494F"/>
    <w:rsid w:val="0064142F"/>
    <w:rsid w:val="00650A15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40166"/>
    <w:rsid w:val="00750E61"/>
    <w:rsid w:val="00762FF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0F82"/>
    <w:rsid w:val="00911C0D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B1BB7"/>
    <w:rsid w:val="009C34E8"/>
    <w:rsid w:val="009C503F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51E72"/>
    <w:rsid w:val="00A61002"/>
    <w:rsid w:val="00A655C6"/>
    <w:rsid w:val="00A76975"/>
    <w:rsid w:val="00A86B8C"/>
    <w:rsid w:val="00A9411D"/>
    <w:rsid w:val="00AA643D"/>
    <w:rsid w:val="00AB73F7"/>
    <w:rsid w:val="00AC2B23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B138B"/>
    <w:rsid w:val="00CB2EE0"/>
    <w:rsid w:val="00CB7278"/>
    <w:rsid w:val="00CD6AF1"/>
    <w:rsid w:val="00CD7BFC"/>
    <w:rsid w:val="00CE1492"/>
    <w:rsid w:val="00CF0A6F"/>
    <w:rsid w:val="00CF7816"/>
    <w:rsid w:val="00D0398D"/>
    <w:rsid w:val="00D0580D"/>
    <w:rsid w:val="00D22712"/>
    <w:rsid w:val="00D22FDB"/>
    <w:rsid w:val="00D35453"/>
    <w:rsid w:val="00D35D5A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C140D"/>
    <w:rsid w:val="00DC36E7"/>
    <w:rsid w:val="00DC579B"/>
    <w:rsid w:val="00DD7E69"/>
    <w:rsid w:val="00E111BE"/>
    <w:rsid w:val="00E21DA1"/>
    <w:rsid w:val="00E2564A"/>
    <w:rsid w:val="00E27653"/>
    <w:rsid w:val="00E31D76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A6F0E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1A4A"/>
    <w:rsid w:val="00FA6F59"/>
    <w:rsid w:val="00FA7F3E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D92D-259E-46E7-AC6D-2D5427A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8</cp:revision>
  <cp:lastPrinted>2020-09-02T09:43:00Z</cp:lastPrinted>
  <dcterms:created xsi:type="dcterms:W3CDTF">2020-09-02T09:52:00Z</dcterms:created>
  <dcterms:modified xsi:type="dcterms:W3CDTF">2020-09-04T06:51:00Z</dcterms:modified>
</cp:coreProperties>
</file>