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right="-142"/>
        <w:jc w:val="center"/>
        <w:spacing w:line="276" w:lineRule="auto"/>
        <w:rPr>
          <w:sz w:val="28"/>
          <w:szCs w:val="28"/>
        </w:rPr>
      </w:pPr>
      <w:r>
        <w:rPr>
          <w:rFonts w:eastAsia="Arial Unicode MS"/>
          <w:b/>
          <w:sz w:val="28"/>
          <w:szCs w:val="28"/>
        </w:rPr>
        <w:t xml:space="preserve">Информация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</w:p>
    <w:p>
      <w:pPr>
        <w:ind w:right="-142"/>
        <w:jc w:val="center"/>
        <w:spacing w:line="276" w:lineRule="auto"/>
        <w:rPr>
          <w:sz w:val="28"/>
          <w:szCs w:val="28"/>
        </w:rPr>
      </w:pPr>
      <w:r>
        <w:rPr>
          <w:rStyle w:val="895"/>
          <w:rFonts w:eastAsiaTheme="majorEastAsia"/>
          <w:b/>
          <w:sz w:val="28"/>
          <w:szCs w:val="28"/>
        </w:rPr>
        <w:t xml:space="preserve">о тарифах и плате за коммунальные</w:t>
      </w:r>
      <w:r>
        <w:rPr>
          <w:sz w:val="28"/>
          <w:szCs w:val="28"/>
        </w:rPr>
      </w:r>
    </w:p>
    <w:p>
      <w:pPr>
        <w:ind w:firstLine="567"/>
        <w:jc w:val="center"/>
        <w:spacing w:line="276" w:lineRule="auto"/>
        <w:rPr>
          <w:sz w:val="28"/>
          <w:szCs w:val="28"/>
        </w:rPr>
      </w:pPr>
      <w:r>
        <w:rPr>
          <w:rStyle w:val="895"/>
          <w:rFonts w:eastAsiaTheme="majorEastAsia"/>
          <w:b/>
          <w:sz w:val="28"/>
          <w:szCs w:val="28"/>
        </w:rPr>
        <w:t xml:space="preserve">услуги</w:t>
      </w:r>
      <w:r>
        <w:rPr>
          <w:sz w:val="28"/>
          <w:szCs w:val="28"/>
        </w:rPr>
        <w:t xml:space="preserve"> </w:t>
      </w:r>
      <w:r>
        <w:rPr>
          <w:rStyle w:val="895"/>
          <w:rFonts w:eastAsiaTheme="majorEastAsia"/>
          <w:b/>
          <w:sz w:val="28"/>
          <w:szCs w:val="28"/>
        </w:rPr>
        <w:t xml:space="preserve">на 2025 год</w:t>
      </w:r>
      <w:r>
        <w:rPr>
          <w:sz w:val="28"/>
          <w:szCs w:val="28"/>
        </w:rPr>
      </w:r>
    </w:p>
    <w:p>
      <w:pPr>
        <w:ind w:right="-142"/>
        <w:jc w:val="center"/>
        <w:spacing w:line="276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851"/>
        <w:jc w:val="both"/>
        <w:spacing w:line="276" w:lineRule="auto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На территории Ханты-Мансийского автономного округа </w:t>
      </w:r>
      <w:r>
        <w:rPr>
          <w:color w:val="000000" w:themeColor="text1"/>
          <w:sz w:val="28"/>
          <w:szCs w:val="28"/>
        </w:rPr>
        <w:t xml:space="preserve">– Югры завершена тарифная кампания по установлению тарифов на коммунальные услуги на 2025 год в сферах теплоснабжения, водоснабжения, водоотведения, электроснабжения, газоснабжения, обращения с твердыми коммунальными отходами (далее – коммунальные услуги).</w:t>
      </w:r>
      <w:r>
        <w:rPr>
          <w:sz w:val="28"/>
          <w:szCs w:val="28"/>
        </w:rPr>
      </w:r>
    </w:p>
    <w:p>
      <w:pPr>
        <w:ind w:firstLine="851"/>
        <w:jc w:val="both"/>
        <w:spacing w:line="276" w:lineRule="auto"/>
        <w:rPr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С 1 января по 30 июня 2025 года тарифы приняты на уровне декабря 2024 года. </w:t>
      </w:r>
      <w:r>
        <w:rPr>
          <w:sz w:val="28"/>
          <w:szCs w:val="28"/>
        </w:rPr>
      </w:r>
    </w:p>
    <w:p>
      <w:pPr>
        <w:ind w:firstLine="851"/>
        <w:jc w:val="both"/>
        <w:spacing w:line="276" w:lineRule="auto"/>
        <w:rPr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Плановое увеличение тарифов произойдет с 1 июля 2025 года в пределах индексов изменения размера совокупной платы граждан за коммунальные услуги, установленных Правительством Российской Федерации в среднем по Югре и Губернатором Ханты-Мансийского авт</w:t>
      </w:r>
      <w:r>
        <w:rPr>
          <w:color w:val="000000" w:themeColor="text1"/>
          <w:sz w:val="28"/>
          <w:szCs w:val="28"/>
        </w:rPr>
        <w:t xml:space="preserve">ономного округа – Югры по муниципальным образованиям,</w:t>
      </w:r>
      <w:r>
        <w:rPr>
          <w:bCs/>
          <w:color w:val="000000" w:themeColor="text1"/>
          <w:sz w:val="28"/>
          <w:szCs w:val="28"/>
        </w:rPr>
        <w:t xml:space="preserve"> с учетом параметров Прогноза социально-экономического развития </w:t>
      </w:r>
      <w:r>
        <w:rPr>
          <w:color w:val="000000" w:themeColor="text1"/>
          <w:sz w:val="28"/>
          <w:szCs w:val="28"/>
        </w:rPr>
        <w:t xml:space="preserve">РФ на 2025 год и последующие периоды 2026-2027 годов, одобренного Правительством </w:t>
      </w:r>
      <w:r>
        <w:rPr>
          <w:sz w:val="28"/>
          <w:szCs w:val="28"/>
        </w:rPr>
        <w:t xml:space="preserve">РФ 24.09.2024.</w:t>
      </w:r>
      <w:r>
        <w:rPr>
          <w:sz w:val="28"/>
          <w:szCs w:val="28"/>
        </w:rPr>
      </w:r>
    </w:p>
    <w:p>
      <w:pPr>
        <w:ind w:firstLine="851"/>
        <w:jc w:val="both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Распоряжением Правительства РФ </w:t>
      </w:r>
      <w:r>
        <w:rPr>
          <w:bCs/>
          <w:sz w:val="28"/>
          <w:szCs w:val="28"/>
        </w:rPr>
        <w:t xml:space="preserve">№ 3287-р от 15.11.2024 </w:t>
      </w:r>
      <w:r>
        <w:rPr>
          <w:color w:val="000000" w:themeColor="text1"/>
          <w:sz w:val="28"/>
          <w:szCs w:val="28"/>
        </w:rPr>
        <w:t xml:space="preserve">утверждены и</w:t>
      </w:r>
      <w:r>
        <w:rPr>
          <w:color w:val="000000" w:themeColor="text1"/>
          <w:sz w:val="28"/>
          <w:szCs w:val="28"/>
        </w:rPr>
        <w:t xml:space="preserve">ндексы изменения размера вносимой гражданами платы за коммунальные услуги в среднем по Югре на 2025 год с 1 января – 0%,           с 1 июля – 9,0% и предельно допустимое отклонение по отдельным муниципальным образованиям от величины указанного индекса с 1 января – 0</w:t>
      </w:r>
      <w:r>
        <w:rPr>
          <w:color w:val="000000" w:themeColor="text1"/>
          <w:sz w:val="28"/>
          <w:szCs w:val="28"/>
        </w:rPr>
        <w:t xml:space="preserve">%, с 1 июля – 2,1%, с учетом которого предельные (максимальные) индексы изменения размера вносимой гражданами платы за коммунальные услуги в муниципальных образованиях автономного округа с 1 июля 2025 (далее – предельные индексы) не должны превышать 11,1%.</w:t>
      </w:r>
      <w:r>
        <w:rPr>
          <w:sz w:val="28"/>
          <w:szCs w:val="28"/>
        </w:rPr>
      </w:r>
    </w:p>
    <w:p>
      <w:pPr>
        <w:ind w:firstLine="851"/>
        <w:jc w:val="both"/>
        <w:spacing w:line="276" w:lineRule="auto"/>
        <w:rPr>
          <w:bCs/>
          <w:color w:val="000000" w:themeColor="text1"/>
          <w:sz w:val="28"/>
          <w:szCs w:val="28"/>
          <w:highlight w:val="yellow"/>
          <w:u w:val="single"/>
        </w:rPr>
      </w:pPr>
      <w:r>
        <w:rPr>
          <w:bCs/>
          <w:color w:val="000000" w:themeColor="text1"/>
          <w:sz w:val="28"/>
          <w:szCs w:val="28"/>
        </w:rPr>
        <w:t xml:space="preserve">В соответствии с указанным решением, принятым на федеральном уровне, постановлением Губернатора автономного округа от 11.12.2023 № 185   (в ред. от 11.12.2024 № 135) </w:t>
      </w:r>
      <w:r>
        <w:rPr>
          <w:bCs/>
          <w:color w:val="000000" w:themeColor="text1"/>
          <w:sz w:val="28"/>
          <w:szCs w:val="28"/>
        </w:rPr>
        <w:t xml:space="preserve">по всем муниципальным образованиям автономного округа </w:t>
      </w:r>
      <w:r>
        <w:rPr>
          <w:bCs/>
          <w:color w:val="000000" w:themeColor="text1"/>
          <w:sz w:val="28"/>
          <w:szCs w:val="28"/>
        </w:rPr>
        <w:t xml:space="preserve">утверждены предельные индексы на 2025 год: </w:t>
      </w:r>
      <w:r>
        <w:rPr>
          <w:bCs/>
          <w:color w:val="000000" w:themeColor="text1"/>
          <w:sz w:val="28"/>
          <w:szCs w:val="28"/>
        </w:rPr>
        <w:t xml:space="preserve">                с 1 января – 0%, с 1 июля – 9,0%</w:t>
      </w:r>
      <w:r>
        <w:rPr>
          <w:bCs/>
          <w:color w:val="000000" w:themeColor="text1"/>
          <w:sz w:val="28"/>
          <w:szCs w:val="28"/>
        </w:rPr>
        <w:t xml:space="preserve"> </w:t>
      </w:r>
      <w:r>
        <w:rPr>
          <w:bCs/>
          <w:color w:val="000000" w:themeColor="text1"/>
          <w:sz w:val="28"/>
          <w:szCs w:val="28"/>
        </w:rPr>
        <w:t xml:space="preserve">(</w:t>
      </w:r>
      <w:hyperlink r:id="rId13" w:tooltip="https://admhmao.ru/dokumenty/pravovye-akty-gubernatora/postanovleniya/10877131/" w:history="1">
        <w:r>
          <w:rPr>
            <w:rStyle w:val="879"/>
            <w:bCs/>
            <w:sz w:val="28"/>
            <w:szCs w:val="28"/>
          </w:rPr>
          <w:t xml:space="preserve">https://admhmao.ru/dokumenty/pravovye-akty-gubernatora/postanovleniya/10877131/</w:t>
        </w:r>
      </w:hyperlink>
      <w:r>
        <w:rPr>
          <w:bCs/>
          <w:color w:val="000000" w:themeColor="text1"/>
          <w:sz w:val="28"/>
          <w:szCs w:val="28"/>
          <w:u w:val="single"/>
        </w:rPr>
        <w:t xml:space="preserve">).</w:t>
      </w:r>
      <w:r>
        <w:rPr>
          <w:sz w:val="28"/>
          <w:szCs w:val="28"/>
        </w:rPr>
      </w:r>
    </w:p>
    <w:p>
      <w:pPr>
        <w:ind w:firstLine="851"/>
        <w:jc w:val="both"/>
        <w:spacing w:line="276" w:lineRule="auto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Велич</w:t>
      </w:r>
      <w:r>
        <w:rPr>
          <w:color w:val="000000" w:themeColor="text1"/>
          <w:sz w:val="28"/>
          <w:szCs w:val="28"/>
        </w:rPr>
        <w:t xml:space="preserve">ина тарифов на коммунальные услуги определяется технико-экономическими показателями систем коммунальной инфраструктуры созданных в каждом конкретном муниципальном образовании и зависит от КПД эксплуатируемого оборудования, вида и цены топлива, уровня автом</w:t>
      </w:r>
      <w:r>
        <w:rPr>
          <w:color w:val="000000" w:themeColor="text1"/>
          <w:sz w:val="28"/>
          <w:szCs w:val="28"/>
        </w:rPr>
        <w:t xml:space="preserve">атизации технологического процесса, протяженности сетей коммунальной инфраструктуры, загрузки основных производственных фондов, а также наличия утвержденной в установленном порядке инвестиционной программы модернизации и реконструкции коммунальных систем. </w:t>
      </w:r>
      <w:r>
        <w:rPr>
          <w:sz w:val="28"/>
          <w:szCs w:val="28"/>
        </w:rPr>
      </w:r>
    </w:p>
    <w:p>
      <w:pPr>
        <w:ind w:firstLine="851"/>
        <w:jc w:val="both"/>
        <w:spacing w:line="276" w:lineRule="auto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Поэтому тарифы на одни и</w:t>
      </w:r>
      <w:r>
        <w:rPr>
          <w:color w:val="000000" w:themeColor="text1"/>
          <w:sz w:val="28"/>
          <w:szCs w:val="28"/>
        </w:rPr>
        <w:t xml:space="preserve"> те же коммунальные услуги, для разных организаций в разных муниципальных образованиях имеют различную величину по причине деятельности организаций в неодинаковых (несопоставимых) условиях, обусловленных сложившимися схемами поставки коммунальных ресурсов.</w:t>
      </w:r>
      <w:r>
        <w:rPr>
          <w:sz w:val="28"/>
          <w:szCs w:val="28"/>
        </w:rPr>
      </w:r>
    </w:p>
    <w:p>
      <w:pPr>
        <w:ind w:firstLine="851"/>
        <w:jc w:val="both"/>
        <w:spacing w:line="276" w:lineRule="auto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Ежегодное ув</w:t>
      </w:r>
      <w:r>
        <w:rPr>
          <w:color w:val="000000" w:themeColor="text1"/>
          <w:sz w:val="28"/>
          <w:szCs w:val="28"/>
        </w:rPr>
        <w:t xml:space="preserve">еличение тарифов на коммунальные услуги обусловлено ростом цен на продукцию естественных монополий (газ, электроэнергию), уровнем прогнозной инфляции в соответствии с прогнозом социально-экономического развития РФ, поэтапным доведением заработной платы до </w:t>
      </w:r>
      <w:r>
        <w:rPr>
          <w:color w:val="000000" w:themeColor="text1"/>
          <w:sz w:val="28"/>
          <w:szCs w:val="28"/>
        </w:rPr>
        <w:t xml:space="preserve">уровня, предусмотренного отраслевым тарифным соглашением в жилищно-коммунальном хозяйстве Российской Федерации, а также (в некоторых случаях) снижением объемов реализации коммунальных услуг, связанным с погодными условиями и энергосбережением потребителей.</w:t>
      </w:r>
      <w:r>
        <w:rPr>
          <w:sz w:val="28"/>
          <w:szCs w:val="28"/>
        </w:rPr>
      </w:r>
    </w:p>
    <w:p>
      <w:pPr>
        <w:ind w:right="1" w:firstLine="709"/>
        <w:jc w:val="both"/>
        <w:spacing w:line="276" w:lineRule="auto"/>
        <w:tabs>
          <w:tab w:val="left" w:pos="567" w:leader="none"/>
        </w:tabs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При этом, рост тарифов по некоторым коммунальным услугам может быть выше установленных индексов (инфляции) за счет отсутствия роста или роста ниже </w:t>
      </w:r>
      <w:r>
        <w:rPr>
          <w:color w:val="000000" w:themeColor="text1"/>
          <w:sz w:val="28"/>
          <w:szCs w:val="28"/>
        </w:rPr>
        <w:t xml:space="preserve">индексов (инфляции)</w:t>
      </w:r>
      <w:r>
        <w:rPr>
          <w:color w:val="000000" w:themeColor="text1"/>
          <w:sz w:val="28"/>
          <w:szCs w:val="28"/>
        </w:rPr>
        <w:t xml:space="preserve"> по другим коммунальным услугам, входящим в состав платы за коммунальные услуги.</w:t>
      </w:r>
      <w:r>
        <w:rPr>
          <w:sz w:val="28"/>
          <w:szCs w:val="28"/>
        </w:rPr>
      </w:r>
    </w:p>
    <w:p>
      <w:pPr>
        <w:ind w:right="1" w:firstLine="709"/>
        <w:jc w:val="both"/>
        <w:spacing w:line="276" w:lineRule="auto"/>
        <w:tabs>
          <w:tab w:val="left" w:pos="567" w:leader="none"/>
        </w:tabs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Рост или снижение тарифов на каждую коммунальную услугу обусловлены экономически обоснованными расходами регулируемой организации, определенными в соответствии с требованиями действующего законодательства.</w:t>
      </w:r>
      <w:r>
        <w:rPr>
          <w:sz w:val="28"/>
          <w:szCs w:val="28"/>
        </w:rPr>
      </w:r>
    </w:p>
    <w:p>
      <w:pPr>
        <w:ind w:firstLine="709"/>
        <w:jc w:val="both"/>
        <w:spacing w:line="276" w:lineRule="auto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Величина платы за коммунальные услуги рассчитывается исходя из тарифов и объема потребления, определяемого по показаниям приборов учета или нормативам потребления (в том числе нормативам накопления твердых коммунальных отходов).</w:t>
      </w:r>
      <w:r>
        <w:rPr>
          <w:sz w:val="28"/>
          <w:szCs w:val="28"/>
        </w:rPr>
      </w:r>
    </w:p>
    <w:p>
      <w:pPr>
        <w:ind w:firstLine="709"/>
        <w:jc w:val="both"/>
        <w:spacing w:line="276" w:lineRule="auto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Для соблюдения законодательства об ограничении роста платы граждан за коммунальные услуги для населения могут применятся тарифы с учетом уровня платы в размере ниже экономически обоснованных тарифов, установленных РСТ Югры, с компенсацией разницы </w:t>
      </w:r>
      <w:r>
        <w:rPr>
          <w:color w:val="000000" w:themeColor="text1"/>
          <w:sz w:val="28"/>
          <w:szCs w:val="28"/>
        </w:rPr>
        <w:t xml:space="preserve">ресурсоснабжающим</w:t>
      </w:r>
      <w:r>
        <w:rPr>
          <w:color w:val="000000" w:themeColor="text1"/>
          <w:sz w:val="28"/>
          <w:szCs w:val="28"/>
        </w:rPr>
        <w:t xml:space="preserve"> организациям из бюджетной системы муниципального образования или субъекта РФ.</w:t>
      </w:r>
      <w:r>
        <w:rPr>
          <w:sz w:val="28"/>
          <w:szCs w:val="28"/>
        </w:rPr>
      </w:r>
    </w:p>
    <w:p>
      <w:pPr>
        <w:ind w:firstLine="709"/>
        <w:jc w:val="both"/>
        <w:spacing w:line="276" w:lineRule="auto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Контроль за правильностью применения тарифов в сфере тепло, водоснабжения, водоотведения, обращения с твердыми коммунальными услугами осуществляет РСТ Югры.</w:t>
      </w:r>
      <w:r>
        <w:rPr>
          <w:sz w:val="28"/>
          <w:szCs w:val="28"/>
        </w:rPr>
      </w:r>
    </w:p>
    <w:p>
      <w:pPr>
        <w:ind w:firstLine="709"/>
        <w:jc w:val="both"/>
        <w:spacing w:line="276" w:lineRule="auto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Информация об установленных РСТ Югры тарифах на тепловую энергию, холодное водоснабжение, водоотведение, по обращению с ТКО размещена на сайте РСТ Югры </w:t>
      </w:r>
      <w:r>
        <w:rPr>
          <w:sz w:val="28"/>
          <w:szCs w:val="28"/>
        </w:rPr>
        <w:t xml:space="preserve">(</w:t>
      </w:r>
      <w:hyperlink r:id="rId14" w:tooltip="http://bptr.eias.admhmao.ru/TariffDecisions?reg=RU.5.86" w:history="1">
        <w:r>
          <w:rPr>
            <w:rStyle w:val="879"/>
            <w:sz w:val="28"/>
            <w:szCs w:val="28"/>
          </w:rPr>
          <w:t xml:space="preserve">http://bptr.eias.admhmao.ru/TariffDecisions?reg=RU.5.86/</w:t>
        </w:r>
      </w:hyperlink>
      <w:r>
        <w:rPr>
          <w:sz w:val="28"/>
          <w:szCs w:val="28"/>
        </w:rPr>
        <w:t xml:space="preserve">) </w:t>
      </w:r>
      <w:r>
        <w:rPr>
          <w:rFonts w:eastAsia="Calibri"/>
          <w:sz w:val="28"/>
          <w:szCs w:val="28"/>
        </w:rPr>
        <w:t xml:space="preserve">и в разделе «Документы» в подразделе «Приказы службы» / «Теплоэнергетика» /«Водоснабжение и водоотведение»/ «Обращение с твердыми коммунальными отходами»</w:t>
      </w:r>
      <w:r>
        <w:rPr>
          <w:sz w:val="28"/>
          <w:szCs w:val="28"/>
        </w:rPr>
        <w:t xml:space="preserve">/ «Газовая отрасль» (</w:t>
      </w:r>
      <w:hyperlink r:id="rId15" w:tooltip="https://rst.admhmao.ru/dokumenty/" w:history="1">
        <w:r>
          <w:rPr>
            <w:rStyle w:val="879"/>
            <w:sz w:val="28"/>
            <w:szCs w:val="28"/>
          </w:rPr>
          <w:t xml:space="preserve">https://rst.admhmao.ru/dokumenty</w:t>
        </w:r>
        <w:r>
          <w:rPr>
            <w:rStyle w:val="879"/>
            <w:color w:val="auto"/>
            <w:sz w:val="28"/>
            <w:szCs w:val="28"/>
            <w:u w:val="none"/>
          </w:rPr>
          <w:t xml:space="preserve">/</w:t>
        </w:r>
      </w:hyperlink>
      <w:r>
        <w:rPr>
          <w:sz w:val="28"/>
          <w:szCs w:val="28"/>
        </w:rPr>
        <w:t xml:space="preserve">).</w:t>
      </w:r>
      <w:r>
        <w:rPr>
          <w:sz w:val="28"/>
          <w:szCs w:val="28"/>
        </w:rPr>
      </w:r>
    </w:p>
    <w:p>
      <w:pPr>
        <w:ind w:firstLine="709"/>
        <w:jc w:val="both"/>
        <w:spacing w:line="276" w:lineRule="auto"/>
        <w:rPr>
          <w:sz w:val="28"/>
          <w:szCs w:val="28"/>
        </w:rPr>
      </w:pPr>
      <w:r>
        <w:rPr>
          <w:rFonts w:eastAsia="Arial Unicode MS"/>
          <w:color w:val="000000" w:themeColor="text1"/>
          <w:sz w:val="28"/>
          <w:szCs w:val="28"/>
        </w:rPr>
        <w:t xml:space="preserve">На сайте </w:t>
      </w:r>
      <w:r>
        <w:rPr>
          <w:color w:val="000000" w:themeColor="text1"/>
          <w:sz w:val="28"/>
          <w:szCs w:val="28"/>
        </w:rPr>
        <w:t xml:space="preserve">регионального оператора по обращению с твердыми коммунальными отходами АО «Югра-Экология» </w:t>
      </w:r>
      <w:r>
        <w:rPr>
          <w:rFonts w:eastAsia="Arial Unicode MS"/>
          <w:color w:val="000000" w:themeColor="text1"/>
          <w:sz w:val="28"/>
          <w:szCs w:val="28"/>
        </w:rPr>
        <w:t xml:space="preserve">установлена программа для расчета платежа за услугу «Обращение с ТКО» (</w:t>
      </w:r>
      <w:hyperlink r:id="rId16" w:tooltip="https://www.yugra-ecology.ru/calculator" w:history="1">
        <w:r>
          <w:rPr>
            <w:rStyle w:val="879"/>
            <w:sz w:val="28"/>
            <w:szCs w:val="28"/>
          </w:rPr>
          <w:t xml:space="preserve">https://www.yugra-ecology.ru/calculator</w:t>
        </w:r>
      </w:hyperlink>
      <w:r>
        <w:rPr>
          <w:rFonts w:eastAsia="Arial Unicode MS"/>
          <w:color w:val="000000" w:themeColor="text1"/>
          <w:sz w:val="28"/>
          <w:szCs w:val="28"/>
        </w:rPr>
        <w:t xml:space="preserve">).</w:t>
      </w:r>
      <w:r>
        <w:rPr>
          <w:sz w:val="28"/>
          <w:szCs w:val="28"/>
        </w:rPr>
      </w:r>
    </w:p>
    <w:p>
      <w:pPr>
        <w:ind w:firstLine="709"/>
        <w:jc w:val="both"/>
        <w:spacing w:line="276" w:lineRule="auto"/>
        <w:rPr>
          <w:sz w:val="28"/>
          <w:szCs w:val="28"/>
        </w:rPr>
      </w:pPr>
      <w:r>
        <w:rPr>
          <w:rFonts w:eastAsia="Arial Unicode MS"/>
          <w:sz w:val="28"/>
          <w:szCs w:val="28"/>
        </w:rPr>
        <w:t xml:space="preserve">Информация об установленных тарифах на электрическую энергию для населения размещена на сайте РЭК (</w:t>
      </w:r>
      <w:hyperlink r:id="rId17" w:tooltip="https://rec.admtyumen.ru/" w:history="1">
        <w:r>
          <w:rPr>
            <w:rStyle w:val="879"/>
            <w:sz w:val="28"/>
            <w:szCs w:val="28"/>
          </w:rPr>
          <w:t xml:space="preserve">https://rec.admtyumen.ru/</w:t>
        </w:r>
      </w:hyperlink>
      <w:r>
        <w:rPr>
          <w:rFonts w:eastAsia="Arial Unicode MS"/>
          <w:sz w:val="28"/>
          <w:szCs w:val="28"/>
        </w:rPr>
        <w:t xml:space="preserve">)  на главной странице «Деятельность», раздел «Нормативные правовые и ненормативные правовые акты».</w:t>
      </w:r>
      <w:r>
        <w:rPr>
          <w:sz w:val="28"/>
          <w:szCs w:val="28"/>
        </w:rPr>
      </w:r>
    </w:p>
    <w:p>
      <w:pPr>
        <w:ind w:firstLine="709"/>
        <w:jc w:val="both"/>
        <w:spacing w:line="276" w:lineRule="auto"/>
        <w:rPr>
          <w:sz w:val="28"/>
          <w:szCs w:val="28"/>
        </w:rPr>
      </w:pPr>
      <w:r>
        <w:rPr>
          <w:rFonts w:eastAsia="Arial Unicode MS"/>
          <w:color w:val="000000" w:themeColor="text1"/>
          <w:sz w:val="28"/>
          <w:szCs w:val="28"/>
        </w:rPr>
        <w:t xml:space="preserve">Контроль за правильностью установления размера платы за содержание и ремонт жилого помещения, определения размера и внесен</w:t>
      </w:r>
      <w:r>
        <w:rPr>
          <w:color w:val="000000" w:themeColor="text1"/>
          <w:sz w:val="28"/>
          <w:szCs w:val="28"/>
        </w:rPr>
        <w:t xml:space="preserve">ия платы за коммунальные услуги граждан осуществляет Служба жилищного и строительного надзора Ханты-Мансийского автономного округа – Югры, сайт: </w:t>
      </w:r>
      <w:hyperlink r:id="rId18" w:tooltip="http://www.jsn.admhmao.ru/" w:history="1">
        <w:r>
          <w:rPr>
            <w:rStyle w:val="879"/>
            <w:sz w:val="28"/>
            <w:szCs w:val="28"/>
          </w:rPr>
          <w:t xml:space="preserve">https://jsn.admhmao.ru/</w:t>
        </w:r>
        <w:r>
          <w:rPr>
            <w:rStyle w:val="879"/>
            <w:color w:val="000000" w:themeColor="text1"/>
            <w:sz w:val="28"/>
            <w:szCs w:val="28"/>
          </w:rPr>
          <w:t xml:space="preserve">.</w:t>
        </w:r>
      </w:hyperlink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76" w:lineRule="auto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Установление нормативов потребления и понижающих коэффициентов к ним на холод</w:t>
      </w:r>
      <w:r>
        <w:rPr>
          <w:rFonts w:eastAsia="Calibri"/>
          <w:sz w:val="28"/>
          <w:szCs w:val="28"/>
        </w:rPr>
        <w:t xml:space="preserve">ную, горячую воду, водоотведение, отопление, минимального размера взноса на капитальный ремонт общего имущества в многоквартирном доме осуществляет Департамент жилищно-коммунального комплекса и энергетики Ханты-Мансийского автономного округа – Югры, сайт: </w:t>
      </w:r>
      <w:hyperlink r:id="rId19" w:tooltip="https://ds.admhmao.ru/" w:history="1">
        <w:r>
          <w:rPr>
            <w:rStyle w:val="879"/>
            <w:sz w:val="28"/>
            <w:szCs w:val="28"/>
          </w:rPr>
          <w:t xml:space="preserve">https://ds.admhmao.ru/</w:t>
        </w:r>
      </w:hyperlink>
      <w:r>
        <w:rPr>
          <w:rFonts w:eastAsia="Calibri"/>
          <w:sz w:val="28"/>
          <w:szCs w:val="28"/>
        </w:rPr>
        <w:t xml:space="preserve">.</w:t>
      </w:r>
      <w:r>
        <w:rPr>
          <w:sz w:val="28"/>
          <w:szCs w:val="28"/>
        </w:rPr>
      </w:r>
    </w:p>
    <w:p>
      <w:pPr>
        <w:ind w:firstLine="709"/>
        <w:jc w:val="both"/>
        <w:spacing w:line="276" w:lineRule="auto"/>
        <w:rPr>
          <w:rFonts w:eastAsia="Calibri"/>
          <w:b/>
          <w:bCs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Установление нормативов накопления твердых коммунальных отходов осуществляет Департамент промышленности Ханты-Мансийского автономного округа – Югры</w:t>
      </w:r>
      <w:r>
        <w:rPr>
          <w:rStyle w:val="879"/>
          <w:color w:val="000000" w:themeColor="text1"/>
          <w:sz w:val="28"/>
          <w:szCs w:val="28"/>
        </w:rPr>
        <w:t xml:space="preserve"> </w:t>
      </w:r>
      <w:hyperlink r:id="rId20" w:tooltip="https://depprom.admhmao.ru/" w:history="1">
        <w:r>
          <w:rPr>
            <w:rStyle w:val="879"/>
            <w:sz w:val="28"/>
            <w:szCs w:val="28"/>
          </w:rPr>
          <w:t xml:space="preserve">https://depprom.admhmao.ru/</w:t>
        </w:r>
      </w:hyperlink>
      <w:r>
        <w:rPr>
          <w:rStyle w:val="879"/>
          <w:color w:val="000000" w:themeColor="text1"/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rFonts w:eastAsia="Calibri"/>
          <w:b/>
          <w:bCs/>
          <w:color w:val="000000" w:themeColor="text1"/>
          <w:sz w:val="28"/>
          <w:szCs w:val="28"/>
        </w:rPr>
      </w:r>
    </w:p>
    <w:p>
      <w:r/>
      <w:r/>
    </w:p>
    <w:p>
      <w:r/>
      <w:r/>
    </w:p>
    <w:p>
      <w:r/>
      <w:r/>
    </w:p>
    <w:p>
      <w:r/>
      <w:r/>
    </w:p>
    <w:p>
      <w:r/>
      <w:r/>
    </w:p>
    <w:p>
      <w:pPr>
        <w:jc w:val="center"/>
      </w:pPr>
      <w:r/>
      <w:r/>
    </w:p>
    <w:sectPr>
      <w:headerReference w:type="default" r:id="rId9"/>
      <w:headerReference w:type="first" r:id="rId10"/>
      <w:footerReference w:type="first" r:id="rId11"/>
      <w:footnotePr/>
      <w:endnotePr/>
      <w:type w:val="nextPage"/>
      <w:pgSz w:w="11906" w:h="16838" w:orient="portrait"/>
      <w:pgMar w:top="1418" w:right="1274" w:bottom="1134" w:left="1559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Courier New">
    <w:panose1 w:val="02070309020205020404"/>
  </w:font>
  <w:font w:name="Times New Roman">
    <w:panose1 w:val="02020603050405020304"/>
  </w:font>
  <w:font w:name="Symbol">
    <w:panose1 w:val="05050102010706020507"/>
  </w:font>
  <w:font w:name="Calibri">
    <w:panose1 w:val="020F0502020204030204"/>
  </w:font>
  <w:font w:name="Tahoma">
    <w:panose1 w:val="020B0604030504040204"/>
  </w:font>
  <w:font w:name="Arial Unicode MS">
    <w:panose1 w:val="020B06040202020202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2"/>
      <w:jc w:val="center"/>
    </w:pPr>
    <w:r/>
    <w:r/>
  </w:p>
  <w:p>
    <w:pPr>
      <w:pStyle w:val="892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0"/>
      <w:jc w:val="center"/>
    </w:pPr>
    <w:fldSimple w:instr="PAGE \* MERGEFORMAT">
      <w:r>
        <w:t xml:space="preserve">1</w:t>
      </w:r>
    </w:fldSimple>
    <w:r/>
    <w:r/>
  </w:p>
  <w:p>
    <w:pPr>
      <w:pStyle w:val="890"/>
    </w:pP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0"/>
      <w:jc w:val="center"/>
    </w:pPr>
    <w:r/>
    <w:r/>
  </w:p>
  <w:p>
    <w:pPr>
      <w:pStyle w:val="890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2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8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7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743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66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149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172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55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938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961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344" w:hanging="2160"/>
      </w:pPr>
      <w:rPr>
        <w:rFonts w:hint="default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0" w:firstLine="0"/>
      </w:pPr>
      <w:rPr>
        <w:rFonts w:hint="default"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>
      <w:start w:val="1"/>
      <w:numFmt w:val="decimal"/>
      <w:isLgl w:val="false"/>
      <w:suff w:val="tab"/>
      <w:lvlText w:val="%1."/>
      <w:lvlJc w:val="left"/>
      <w:pPr>
        <w:ind w:left="0" w:firstLine="0"/>
      </w:pPr>
      <w:rPr>
        <w:rFonts w:hint="default"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7"/>
        <w:szCs w:val="27"/>
        <w:u w:val="none"/>
      </w:rPr>
    </w:lvl>
    <w:lvl w:ilvl="2">
      <w:start w:val="1"/>
      <w:numFmt w:val="decimal"/>
      <w:isLgl w:val="false"/>
      <w:suff w:val="tab"/>
      <w:lvlText w:val="%1."/>
      <w:lvlJc w:val="left"/>
      <w:pPr>
        <w:ind w:left="0" w:firstLine="0"/>
      </w:pPr>
      <w:rPr>
        <w:rFonts w:hint="default"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7"/>
        <w:szCs w:val="27"/>
        <w:u w:val="none"/>
      </w:rPr>
    </w:lvl>
    <w:lvl w:ilvl="3">
      <w:start w:val="1"/>
      <w:numFmt w:val="decimal"/>
      <w:isLgl w:val="false"/>
      <w:suff w:val="tab"/>
      <w:lvlText w:val="%1."/>
      <w:lvlJc w:val="left"/>
      <w:pPr>
        <w:ind w:left="0" w:firstLine="0"/>
      </w:pPr>
      <w:rPr>
        <w:rFonts w:hint="default"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7"/>
        <w:szCs w:val="27"/>
        <w:u w:val="none"/>
      </w:rPr>
    </w:lvl>
    <w:lvl w:ilvl="4">
      <w:start w:val="1"/>
      <w:numFmt w:val="decimal"/>
      <w:isLgl w:val="false"/>
      <w:suff w:val="tab"/>
      <w:lvlText w:val="%1."/>
      <w:lvlJc w:val="left"/>
      <w:pPr>
        <w:ind w:left="0" w:firstLine="0"/>
      </w:pPr>
      <w:rPr>
        <w:rFonts w:hint="default"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7"/>
        <w:szCs w:val="27"/>
        <w:u w:val="none"/>
      </w:rPr>
    </w:lvl>
    <w:lvl w:ilvl="5">
      <w:start w:val="1"/>
      <w:numFmt w:val="decimal"/>
      <w:isLgl w:val="false"/>
      <w:suff w:val="tab"/>
      <w:lvlText w:val="%1."/>
      <w:lvlJc w:val="left"/>
      <w:pPr>
        <w:ind w:left="0" w:firstLine="0"/>
      </w:pPr>
      <w:rPr>
        <w:rFonts w:hint="default"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7"/>
        <w:szCs w:val="27"/>
        <w:u w:val="none"/>
      </w:rPr>
    </w:lvl>
    <w:lvl w:ilvl="6">
      <w:start w:val="1"/>
      <w:numFmt w:val="decimal"/>
      <w:isLgl w:val="false"/>
      <w:suff w:val="tab"/>
      <w:lvlText w:val="%1."/>
      <w:lvlJc w:val="left"/>
      <w:pPr>
        <w:ind w:left="0" w:firstLine="0"/>
      </w:pPr>
      <w:rPr>
        <w:rFonts w:hint="default"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7"/>
        <w:szCs w:val="27"/>
        <w:u w:val="none"/>
      </w:rPr>
    </w:lvl>
    <w:lvl w:ilvl="7">
      <w:start w:val="1"/>
      <w:numFmt w:val="decimal"/>
      <w:isLgl w:val="false"/>
      <w:suff w:val="tab"/>
      <w:lvlText w:val="%1."/>
      <w:lvlJc w:val="left"/>
      <w:pPr>
        <w:ind w:left="0" w:firstLine="0"/>
      </w:pPr>
      <w:rPr>
        <w:rFonts w:hint="default"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7"/>
        <w:szCs w:val="27"/>
        <w:u w:val="none"/>
      </w:rPr>
    </w:lvl>
    <w:lvl w:ilvl="8">
      <w:start w:val="1"/>
      <w:numFmt w:val="decimal"/>
      <w:isLgl w:val="false"/>
      <w:suff w:val="tab"/>
      <w:lvlText w:val="%1."/>
      <w:lvlJc w:val="left"/>
      <w:pPr>
        <w:ind w:left="0" w:firstLine="0"/>
      </w:pPr>
      <w:rPr>
        <w:rFonts w:hint="default"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7"/>
        <w:szCs w:val="27"/>
        <w:u w:val="none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4"/>
  </w:num>
  <w:num w:numId="5">
    <w:abstractNumId w:val="5"/>
  </w:num>
  <w:num w:numId="6">
    <w:abstractNumId w:val="0"/>
  </w:num>
  <w:num w:numId="7">
    <w:abstractNumId w:val="2"/>
  </w:num>
  <w:num w:numId="8">
    <w:abstractNumId w:val="6"/>
  </w:num>
  <w:num w:numId="9">
    <w:abstractNumId w:val="8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84" w:default="1">
    <w:name w:val="Normal"/>
    <w:qFormat/>
    <w:rPr>
      <w:sz w:val="24"/>
      <w:szCs w:val="24"/>
    </w:rPr>
  </w:style>
  <w:style w:type="paragraph" w:styleId="685">
    <w:name w:val="Heading 1"/>
    <w:basedOn w:val="684"/>
    <w:next w:val="684"/>
    <w:link w:val="712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86">
    <w:name w:val="Heading 2"/>
    <w:basedOn w:val="684"/>
    <w:next w:val="684"/>
    <w:link w:val="71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87">
    <w:name w:val="Heading 3"/>
    <w:basedOn w:val="684"/>
    <w:next w:val="684"/>
    <w:link w:val="714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88">
    <w:name w:val="Heading 4"/>
    <w:basedOn w:val="684"/>
    <w:next w:val="684"/>
    <w:link w:val="71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89">
    <w:name w:val="Heading 5"/>
    <w:basedOn w:val="684"/>
    <w:next w:val="684"/>
    <w:link w:val="71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690">
    <w:name w:val="Heading 6"/>
    <w:basedOn w:val="684"/>
    <w:next w:val="684"/>
    <w:link w:val="71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691">
    <w:name w:val="Heading 7"/>
    <w:basedOn w:val="684"/>
    <w:next w:val="684"/>
    <w:link w:val="71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92">
    <w:name w:val="Heading 8"/>
    <w:basedOn w:val="684"/>
    <w:next w:val="684"/>
    <w:link w:val="71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693">
    <w:name w:val="Heading 9"/>
    <w:basedOn w:val="684"/>
    <w:next w:val="684"/>
    <w:link w:val="72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4" w:default="1">
    <w:name w:val="Default Paragraph Font"/>
    <w:uiPriority w:val="1"/>
    <w:semiHidden/>
    <w:unhideWhenUsed/>
  </w:style>
  <w:style w:type="table" w:styleId="69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96" w:default="1">
    <w:name w:val="No List"/>
    <w:uiPriority w:val="99"/>
    <w:semiHidden/>
    <w:unhideWhenUsed/>
  </w:style>
  <w:style w:type="character" w:styleId="697" w:customStyle="1">
    <w:name w:val="Heading 1 Char"/>
    <w:basedOn w:val="694"/>
    <w:uiPriority w:val="9"/>
    <w:rPr>
      <w:rFonts w:ascii="Arial" w:hAnsi="Arial" w:eastAsia="Arial" w:cs="Arial"/>
      <w:sz w:val="40"/>
      <w:szCs w:val="40"/>
    </w:rPr>
  </w:style>
  <w:style w:type="character" w:styleId="698" w:customStyle="1">
    <w:name w:val="Heading 2 Char"/>
    <w:basedOn w:val="694"/>
    <w:uiPriority w:val="9"/>
    <w:rPr>
      <w:rFonts w:ascii="Arial" w:hAnsi="Arial" w:eastAsia="Arial" w:cs="Arial"/>
      <w:sz w:val="34"/>
    </w:rPr>
  </w:style>
  <w:style w:type="character" w:styleId="699" w:customStyle="1">
    <w:name w:val="Heading 3 Char"/>
    <w:basedOn w:val="694"/>
    <w:uiPriority w:val="9"/>
    <w:rPr>
      <w:rFonts w:ascii="Arial" w:hAnsi="Arial" w:eastAsia="Arial" w:cs="Arial"/>
      <w:sz w:val="30"/>
      <w:szCs w:val="30"/>
    </w:rPr>
  </w:style>
  <w:style w:type="character" w:styleId="700" w:customStyle="1">
    <w:name w:val="Heading 4 Char"/>
    <w:basedOn w:val="694"/>
    <w:uiPriority w:val="9"/>
    <w:rPr>
      <w:rFonts w:ascii="Arial" w:hAnsi="Arial" w:eastAsia="Arial" w:cs="Arial"/>
      <w:b/>
      <w:bCs/>
      <w:sz w:val="26"/>
      <w:szCs w:val="26"/>
    </w:rPr>
  </w:style>
  <w:style w:type="character" w:styleId="701" w:customStyle="1">
    <w:name w:val="Heading 5 Char"/>
    <w:basedOn w:val="694"/>
    <w:uiPriority w:val="9"/>
    <w:rPr>
      <w:rFonts w:ascii="Arial" w:hAnsi="Arial" w:eastAsia="Arial" w:cs="Arial"/>
      <w:b/>
      <w:bCs/>
      <w:sz w:val="24"/>
      <w:szCs w:val="24"/>
    </w:rPr>
  </w:style>
  <w:style w:type="character" w:styleId="702" w:customStyle="1">
    <w:name w:val="Heading 6 Char"/>
    <w:basedOn w:val="694"/>
    <w:uiPriority w:val="9"/>
    <w:rPr>
      <w:rFonts w:ascii="Arial" w:hAnsi="Arial" w:eastAsia="Arial" w:cs="Arial"/>
      <w:b/>
      <w:bCs/>
      <w:sz w:val="22"/>
      <w:szCs w:val="22"/>
    </w:rPr>
  </w:style>
  <w:style w:type="character" w:styleId="703" w:customStyle="1">
    <w:name w:val="Heading 7 Char"/>
    <w:basedOn w:val="69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04" w:customStyle="1">
    <w:name w:val="Heading 8 Char"/>
    <w:basedOn w:val="694"/>
    <w:uiPriority w:val="9"/>
    <w:rPr>
      <w:rFonts w:ascii="Arial" w:hAnsi="Arial" w:eastAsia="Arial" w:cs="Arial"/>
      <w:i/>
      <w:iCs/>
      <w:sz w:val="22"/>
      <w:szCs w:val="22"/>
    </w:rPr>
  </w:style>
  <w:style w:type="character" w:styleId="705" w:customStyle="1">
    <w:name w:val="Heading 9 Char"/>
    <w:basedOn w:val="694"/>
    <w:uiPriority w:val="9"/>
    <w:rPr>
      <w:rFonts w:ascii="Arial" w:hAnsi="Arial" w:eastAsia="Arial" w:cs="Arial"/>
      <w:i/>
      <w:iCs/>
      <w:sz w:val="21"/>
      <w:szCs w:val="21"/>
    </w:rPr>
  </w:style>
  <w:style w:type="character" w:styleId="706" w:customStyle="1">
    <w:name w:val="Title Char"/>
    <w:basedOn w:val="694"/>
    <w:uiPriority w:val="10"/>
    <w:rPr>
      <w:sz w:val="48"/>
      <w:szCs w:val="48"/>
    </w:rPr>
  </w:style>
  <w:style w:type="character" w:styleId="707" w:customStyle="1">
    <w:name w:val="Subtitle Char"/>
    <w:basedOn w:val="694"/>
    <w:uiPriority w:val="11"/>
    <w:rPr>
      <w:sz w:val="24"/>
      <w:szCs w:val="24"/>
    </w:rPr>
  </w:style>
  <w:style w:type="character" w:styleId="708" w:customStyle="1">
    <w:name w:val="Quote Char"/>
    <w:uiPriority w:val="29"/>
    <w:rPr>
      <w:i/>
    </w:rPr>
  </w:style>
  <w:style w:type="character" w:styleId="709" w:customStyle="1">
    <w:name w:val="Intense Quote Char"/>
    <w:uiPriority w:val="30"/>
    <w:rPr>
      <w:i/>
    </w:rPr>
  </w:style>
  <w:style w:type="character" w:styleId="710" w:customStyle="1">
    <w:name w:val="Footnote Text Char"/>
    <w:uiPriority w:val="99"/>
    <w:rPr>
      <w:sz w:val="18"/>
    </w:rPr>
  </w:style>
  <w:style w:type="character" w:styleId="711" w:customStyle="1">
    <w:name w:val="Endnote Text Char"/>
    <w:uiPriority w:val="99"/>
    <w:rPr>
      <w:sz w:val="20"/>
    </w:rPr>
  </w:style>
  <w:style w:type="character" w:styleId="712" w:customStyle="1">
    <w:name w:val="Заголовок 1 Знак"/>
    <w:basedOn w:val="694"/>
    <w:link w:val="685"/>
    <w:uiPriority w:val="9"/>
    <w:rPr>
      <w:rFonts w:ascii="Arial" w:hAnsi="Arial" w:eastAsia="Arial" w:cs="Arial"/>
      <w:sz w:val="40"/>
      <w:szCs w:val="40"/>
    </w:rPr>
  </w:style>
  <w:style w:type="character" w:styleId="713" w:customStyle="1">
    <w:name w:val="Заголовок 2 Знак"/>
    <w:basedOn w:val="694"/>
    <w:link w:val="686"/>
    <w:uiPriority w:val="9"/>
    <w:rPr>
      <w:rFonts w:ascii="Arial" w:hAnsi="Arial" w:eastAsia="Arial" w:cs="Arial"/>
      <w:sz w:val="34"/>
    </w:rPr>
  </w:style>
  <w:style w:type="character" w:styleId="714" w:customStyle="1">
    <w:name w:val="Заголовок 3 Знак"/>
    <w:basedOn w:val="694"/>
    <w:link w:val="687"/>
    <w:uiPriority w:val="9"/>
    <w:rPr>
      <w:rFonts w:ascii="Arial" w:hAnsi="Arial" w:eastAsia="Arial" w:cs="Arial"/>
      <w:sz w:val="30"/>
      <w:szCs w:val="30"/>
    </w:rPr>
  </w:style>
  <w:style w:type="character" w:styleId="715" w:customStyle="1">
    <w:name w:val="Заголовок 4 Знак"/>
    <w:basedOn w:val="694"/>
    <w:link w:val="688"/>
    <w:uiPriority w:val="9"/>
    <w:rPr>
      <w:rFonts w:ascii="Arial" w:hAnsi="Arial" w:eastAsia="Arial" w:cs="Arial"/>
      <w:b/>
      <w:bCs/>
      <w:sz w:val="26"/>
      <w:szCs w:val="26"/>
    </w:rPr>
  </w:style>
  <w:style w:type="character" w:styleId="716" w:customStyle="1">
    <w:name w:val="Заголовок 5 Знак"/>
    <w:basedOn w:val="694"/>
    <w:link w:val="689"/>
    <w:uiPriority w:val="9"/>
    <w:rPr>
      <w:rFonts w:ascii="Arial" w:hAnsi="Arial" w:eastAsia="Arial" w:cs="Arial"/>
      <w:b/>
      <w:bCs/>
      <w:sz w:val="24"/>
      <w:szCs w:val="24"/>
    </w:rPr>
  </w:style>
  <w:style w:type="character" w:styleId="717" w:customStyle="1">
    <w:name w:val="Заголовок 6 Знак"/>
    <w:basedOn w:val="694"/>
    <w:link w:val="690"/>
    <w:uiPriority w:val="9"/>
    <w:rPr>
      <w:rFonts w:ascii="Arial" w:hAnsi="Arial" w:eastAsia="Arial" w:cs="Arial"/>
      <w:b/>
      <w:bCs/>
      <w:sz w:val="22"/>
      <w:szCs w:val="22"/>
    </w:rPr>
  </w:style>
  <w:style w:type="character" w:styleId="718" w:customStyle="1">
    <w:name w:val="Заголовок 7 Знак"/>
    <w:basedOn w:val="694"/>
    <w:link w:val="69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19" w:customStyle="1">
    <w:name w:val="Заголовок 8 Знак"/>
    <w:basedOn w:val="694"/>
    <w:link w:val="692"/>
    <w:uiPriority w:val="9"/>
    <w:rPr>
      <w:rFonts w:ascii="Arial" w:hAnsi="Arial" w:eastAsia="Arial" w:cs="Arial"/>
      <w:i/>
      <w:iCs/>
      <w:sz w:val="22"/>
      <w:szCs w:val="22"/>
    </w:rPr>
  </w:style>
  <w:style w:type="character" w:styleId="720" w:customStyle="1">
    <w:name w:val="Заголовок 9 Знак"/>
    <w:basedOn w:val="694"/>
    <w:link w:val="693"/>
    <w:uiPriority w:val="9"/>
    <w:rPr>
      <w:rFonts w:ascii="Arial" w:hAnsi="Arial" w:eastAsia="Arial" w:cs="Arial"/>
      <w:i/>
      <w:iCs/>
      <w:sz w:val="21"/>
      <w:szCs w:val="21"/>
    </w:rPr>
  </w:style>
  <w:style w:type="paragraph" w:styleId="721">
    <w:name w:val="List Paragraph"/>
    <w:basedOn w:val="684"/>
    <w:uiPriority w:val="34"/>
    <w:qFormat/>
    <w:pPr>
      <w:contextualSpacing/>
      <w:ind w:left="720"/>
    </w:pPr>
  </w:style>
  <w:style w:type="paragraph" w:styleId="722">
    <w:name w:val="Title"/>
    <w:basedOn w:val="684"/>
    <w:next w:val="684"/>
    <w:link w:val="72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23" w:customStyle="1">
    <w:name w:val="Заголовок Знак"/>
    <w:basedOn w:val="694"/>
    <w:link w:val="722"/>
    <w:uiPriority w:val="10"/>
    <w:rPr>
      <w:sz w:val="48"/>
      <w:szCs w:val="48"/>
    </w:rPr>
  </w:style>
  <w:style w:type="paragraph" w:styleId="724">
    <w:name w:val="Subtitle"/>
    <w:basedOn w:val="684"/>
    <w:next w:val="684"/>
    <w:link w:val="725"/>
    <w:uiPriority w:val="11"/>
    <w:qFormat/>
    <w:pPr>
      <w:spacing w:before="200" w:after="200"/>
    </w:pPr>
  </w:style>
  <w:style w:type="character" w:styleId="725" w:customStyle="1">
    <w:name w:val="Подзаголовок Знак"/>
    <w:basedOn w:val="694"/>
    <w:link w:val="724"/>
    <w:uiPriority w:val="11"/>
    <w:rPr>
      <w:sz w:val="24"/>
      <w:szCs w:val="24"/>
    </w:rPr>
  </w:style>
  <w:style w:type="paragraph" w:styleId="726">
    <w:name w:val="Quote"/>
    <w:basedOn w:val="684"/>
    <w:next w:val="684"/>
    <w:link w:val="727"/>
    <w:uiPriority w:val="29"/>
    <w:qFormat/>
    <w:pPr>
      <w:ind w:left="720" w:right="720"/>
    </w:pPr>
    <w:rPr>
      <w:i/>
    </w:rPr>
  </w:style>
  <w:style w:type="character" w:styleId="727" w:customStyle="1">
    <w:name w:val="Цитата 2 Знак"/>
    <w:link w:val="726"/>
    <w:uiPriority w:val="29"/>
    <w:rPr>
      <w:i/>
    </w:rPr>
  </w:style>
  <w:style w:type="paragraph" w:styleId="728">
    <w:name w:val="Intense Quote"/>
    <w:basedOn w:val="684"/>
    <w:next w:val="684"/>
    <w:link w:val="729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9" w:customStyle="1">
    <w:name w:val="Выделенная цитата Знак"/>
    <w:link w:val="728"/>
    <w:uiPriority w:val="30"/>
    <w:rPr>
      <w:i/>
    </w:rPr>
  </w:style>
  <w:style w:type="character" w:styleId="730" w:customStyle="1">
    <w:name w:val="Header Char"/>
    <w:basedOn w:val="694"/>
    <w:uiPriority w:val="99"/>
  </w:style>
  <w:style w:type="character" w:styleId="731" w:customStyle="1">
    <w:name w:val="Footer Char"/>
    <w:basedOn w:val="694"/>
    <w:uiPriority w:val="99"/>
  </w:style>
  <w:style w:type="paragraph" w:styleId="732">
    <w:name w:val="Caption"/>
    <w:basedOn w:val="684"/>
    <w:next w:val="684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styleId="733" w:customStyle="1">
    <w:name w:val="Caption Char"/>
    <w:uiPriority w:val="99"/>
  </w:style>
  <w:style w:type="table" w:styleId="734" w:customStyle="1">
    <w:name w:val="Table Grid Light"/>
    <w:basedOn w:val="695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35">
    <w:name w:val="Plain Table 1"/>
    <w:basedOn w:val="695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6">
    <w:name w:val="Plain Table 2"/>
    <w:basedOn w:val="695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7">
    <w:name w:val="Plain Table 3"/>
    <w:basedOn w:val="695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8">
    <w:name w:val="Plain Table 4"/>
    <w:basedOn w:val="695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Plain Table 5"/>
    <w:basedOn w:val="695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40">
    <w:name w:val="Grid Table 1 Light"/>
    <w:basedOn w:val="695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 w:customStyle="1">
    <w:name w:val="Grid Table 1 Light - Accent 1"/>
    <w:basedOn w:val="695"/>
    <w:uiPriority w:val="99"/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 w:customStyle="1">
    <w:name w:val="Grid Table 1 Light - Accent 2"/>
    <w:basedOn w:val="695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 w:customStyle="1">
    <w:name w:val="Grid Table 1 Light - Accent 3"/>
    <w:basedOn w:val="695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 w:customStyle="1">
    <w:name w:val="Grid Table 1 Light - Accent 4"/>
    <w:basedOn w:val="695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 w:customStyle="1">
    <w:name w:val="Grid Table 1 Light - Accent 5"/>
    <w:basedOn w:val="695"/>
    <w:uiPriority w:val="99"/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 w:customStyle="1">
    <w:name w:val="Grid Table 1 Light - Accent 6"/>
    <w:basedOn w:val="695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Grid Table 2"/>
    <w:basedOn w:val="695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Grid Table 2 - Accent 1"/>
    <w:basedOn w:val="695"/>
    <w:uiPriority w:val="99"/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37DC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37DC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Grid Table 2 - Accent 2"/>
    <w:basedOn w:val="695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Grid Table 2 - Accent 3"/>
    <w:basedOn w:val="695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Grid Table 2 - Accent 4"/>
    <w:basedOn w:val="695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Grid Table 2 - Accent 5"/>
    <w:basedOn w:val="695"/>
    <w:uiPriority w:val="99"/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B9BD5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 w:customStyle="1">
    <w:name w:val="Grid Table 2 - Accent 6"/>
    <w:basedOn w:val="695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3"/>
    <w:basedOn w:val="695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 w:customStyle="1">
    <w:name w:val="Grid Table 3 - Accent 1"/>
    <w:basedOn w:val="695"/>
    <w:uiPriority w:val="99"/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 w:customStyle="1">
    <w:name w:val="Grid Table 3 - Accent 2"/>
    <w:basedOn w:val="695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 w:customStyle="1">
    <w:name w:val="Grid Table 3 - Accent 3"/>
    <w:basedOn w:val="695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 w:customStyle="1">
    <w:name w:val="Grid Table 3 - Accent 4"/>
    <w:basedOn w:val="695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 w:customStyle="1">
    <w:name w:val="Grid Table 3 - Accent 5"/>
    <w:basedOn w:val="695"/>
    <w:uiPriority w:val="99"/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 w:customStyle="1">
    <w:name w:val="Grid Table 3 - Accent 6"/>
    <w:basedOn w:val="695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4"/>
    <w:basedOn w:val="695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2" w:customStyle="1">
    <w:name w:val="Grid Table 4 - Accent 1"/>
    <w:basedOn w:val="695"/>
    <w:uiPriority w:val="59"/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37dc8" w:themeColor="accent1" w:themeTint="EA" w:fill="537dc8" w:themeFill="accent1" w:themeFillTint="EA"/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</w:tcBorders>
      </w:tcPr>
    </w:tblStylePr>
  </w:style>
  <w:style w:type="table" w:styleId="763" w:customStyle="1">
    <w:name w:val="Grid Table 4 - Accent 2"/>
    <w:basedOn w:val="695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64" w:customStyle="1">
    <w:name w:val="Grid Table 4 - Accent 3"/>
    <w:basedOn w:val="695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65" w:customStyle="1">
    <w:name w:val="Grid Table 4 - Accent 4"/>
    <w:basedOn w:val="695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66" w:customStyle="1">
    <w:name w:val="Grid Table 4 - Accent 5"/>
    <w:basedOn w:val="695"/>
    <w:uiPriority w:val="59"/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5" w:sz="4" w:space="0"/>
        </w:tcBorders>
      </w:tcPr>
    </w:tblStylePr>
  </w:style>
  <w:style w:type="table" w:styleId="767" w:customStyle="1">
    <w:name w:val="Grid Table 4 - Accent 6"/>
    <w:basedOn w:val="695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68">
    <w:name w:val="Grid Table 5 Dark"/>
    <w:basedOn w:val="69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69" w:customStyle="1">
    <w:name w:val="Grid Table 5 Dark- Accent 1"/>
    <w:basedOn w:val="69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1" w:themeTint="34" w:fill="d8e2f3" w:themeFill="accent1" w:themeFillTint="34"/>
    </w:tblPr>
    <w:tblStylePr w:type="band1Horz">
      <w:tcPr>
        <w:shd w:val="clear" w:color="a9bee4" w:themeColor="accent1" w:themeTint="75" w:fill="a9bee4" w:themeFill="accent1" w:themeFillTint="75"/>
      </w:tcPr>
    </w:tblStylePr>
    <w:tblStylePr w:type="band1Vert">
      <w:tcPr>
        <w:shd w:val="clear" w:color="a9bee4" w:themeColor="accent1" w:themeTint="75" w:fill="a9bee4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  <w:tcBorders>
          <w:top w:val="single" w:color="FFFFFF" w:themeColor="light1" w:sz="4" w:space="0"/>
        </w:tcBorders>
      </w:tcPr>
    </w:tblStylePr>
  </w:style>
  <w:style w:type="table" w:styleId="770" w:customStyle="1">
    <w:name w:val="Grid Table 5 Dark - Accent 2"/>
    <w:basedOn w:val="69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71" w:customStyle="1">
    <w:name w:val="Grid Table 5 Dark - Accent 3"/>
    <w:basedOn w:val="69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72" w:customStyle="1">
    <w:name w:val="Grid Table 5 Dark- Accent 4"/>
    <w:basedOn w:val="69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73" w:customStyle="1">
    <w:name w:val="Grid Table 5 Dark - Accent 5"/>
    <w:basedOn w:val="69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5" w:themeTint="34" w:fill="ddeaf6" w:themeFill="accent5" w:themeFillTint="34"/>
    </w:tblPr>
    <w:tblStylePr w:type="band1Horz">
      <w:tcPr>
        <w:shd w:val="clear" w:color="b3d0eb" w:themeColor="accent5" w:themeTint="75" w:fill="b3d0eb" w:themeFill="accent5" w:themeFillTint="75"/>
      </w:tcPr>
    </w:tblStylePr>
    <w:tblStylePr w:type="band1Vert">
      <w:tcPr>
        <w:shd w:val="clear" w:color="b3d0eb" w:themeColor="accent5" w:themeTint="75" w:fill="b3d0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  <w:tcBorders>
          <w:top w:val="single" w:color="FFFFFF" w:themeColor="light1" w:sz="4" w:space="0"/>
        </w:tcBorders>
      </w:tcPr>
    </w:tblStylePr>
  </w:style>
  <w:style w:type="table" w:styleId="774" w:customStyle="1">
    <w:name w:val="Grid Table 5 Dark - Accent 6"/>
    <w:basedOn w:val="69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75">
    <w:name w:val="Grid Table 6 Colorful"/>
    <w:basedOn w:val="695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76" w:customStyle="1">
    <w:name w:val="Grid Table 6 Colorful - Accent 1"/>
    <w:basedOn w:val="695"/>
    <w:uiPriority w:val="99"/>
    <w:tblPr>
      <w:tblStyleRowBandSize w:val="1"/>
      <w:tblStyleColBandSize w:val="1"/>
      <w:tblBorders>
        <w:top w:val="single" w:color="A0B7E1" w:themeColor="accent1" w:themeTint="80" w:sz="4" w:space="0"/>
        <w:left w:val="single" w:color="A0B7E1" w:themeColor="accent1" w:themeTint="80" w:sz="4" w:space="0"/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band1Horz">
      <w:rPr>
        <w:rFonts w:ascii="Arial" w:hAnsi="Arial"/>
        <w:color w:val="a0b7e1" w:themeColor="accent1" w:themeTint="80" w:themeShade="95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  <w:tblStylePr w:type="firstCol">
      <w:rPr>
        <w:b/>
        <w:color w:val="a0b7e1" w:themeColor="accent1" w:themeTint="80" w:themeShade="95"/>
      </w:rPr>
    </w:tblStylePr>
    <w:tblStylePr w:type="firstRow">
      <w:rPr>
        <w:b/>
        <w:color w:val="a0b7e1" w:themeColor="accent1" w:themeTint="80" w:themeShade="95"/>
      </w:rPr>
      <w:tcPr>
        <w:tcBorders>
          <w:bottom w:val="single" w:color="A0B7E1" w:themeColor="accent1" w:themeTint="80" w:sz="12" w:space="0"/>
        </w:tcBorders>
      </w:tcPr>
    </w:tblStylePr>
    <w:tblStylePr w:type="lastCol">
      <w:rPr>
        <w:b/>
        <w:color w:val="a0b7e1" w:themeColor="accent1" w:themeTint="80" w:themeShade="95"/>
      </w:rPr>
    </w:tblStylePr>
    <w:tblStylePr w:type="lastRow">
      <w:rPr>
        <w:b/>
        <w:color w:val="a0b7e1" w:themeColor="accent1" w:themeTint="80" w:themeShade="95"/>
      </w:rPr>
    </w:tblStylePr>
  </w:style>
  <w:style w:type="table" w:styleId="777" w:customStyle="1">
    <w:name w:val="Grid Table 6 Colorful - Accent 2"/>
    <w:basedOn w:val="695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78" w:customStyle="1">
    <w:name w:val="Grid Table 6 Colorful - Accent 3"/>
    <w:basedOn w:val="695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79" w:customStyle="1">
    <w:name w:val="Grid Table 6 Colorful - Accent 4"/>
    <w:basedOn w:val="695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80" w:customStyle="1">
    <w:name w:val="Grid Table 6 Colorful - Accent 5"/>
    <w:basedOn w:val="695"/>
    <w:uiPriority w:val="99"/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b/>
        <w:color w:val="245a8d" w:themeColor="accent5" w:themeShade="95"/>
      </w:rPr>
    </w:tblStylePr>
    <w:tblStylePr w:type="firstRow">
      <w:rPr>
        <w:b/>
        <w:color w:val="245a8d" w:themeColor="accent5" w:themeShade="95"/>
      </w:rPr>
      <w:tcPr>
        <w:tcBorders>
          <w:bottom w:val="single" w:color="5B9BD5" w:themeColor="accent5" w:sz="12" w:space="0"/>
        </w:tcBorders>
      </w:tcPr>
    </w:tblStylePr>
    <w:tblStylePr w:type="lastCol">
      <w:rPr>
        <w:b/>
        <w:color w:val="245a8d" w:themeColor="accent5" w:themeShade="95"/>
      </w:rPr>
    </w:tblStylePr>
    <w:tblStylePr w:type="lastRow">
      <w:rPr>
        <w:b/>
        <w:color w:val="245a8d" w:themeColor="accent5" w:themeShade="95"/>
      </w:rPr>
    </w:tblStylePr>
  </w:style>
  <w:style w:type="table" w:styleId="781" w:customStyle="1">
    <w:name w:val="Grid Table 6 Colorful - Accent 6"/>
    <w:basedOn w:val="695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b/>
        <w:color w:val="245a8d" w:themeColor="accent5" w:themeShade="95"/>
      </w:rPr>
    </w:tblStylePr>
    <w:tblStylePr w:type="firstRow">
      <w:rPr>
        <w:b/>
        <w:color w:val="245a8d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45a8d" w:themeColor="accent5" w:themeShade="95"/>
      </w:rPr>
    </w:tblStylePr>
    <w:tblStylePr w:type="lastRow">
      <w:rPr>
        <w:b/>
        <w:color w:val="245a8d" w:themeColor="accent5" w:themeShade="95"/>
      </w:rPr>
    </w:tblStylePr>
  </w:style>
  <w:style w:type="table" w:styleId="782">
    <w:name w:val="Grid Table 7 Colorful"/>
    <w:basedOn w:val="695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Grid Table 7 Colorful - Accent 1"/>
    <w:basedOn w:val="695"/>
    <w:uiPriority w:val="99"/>
    <w:tblPr>
      <w:tblStyleRowBandSize w:val="1"/>
      <w:tblStyleColBandSize w:val="1"/>
      <w:tblBorders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band1Horz">
      <w:rPr>
        <w:rFonts w:ascii="Arial" w:hAnsi="Arial"/>
        <w:color w:val="a0b7e1" w:themeColor="accent1" w:themeTint="80" w:themeShade="95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  <w:tblStylePr w:type="firstCol">
      <w:rPr>
        <w:rFonts w:ascii="Arial" w:hAnsi="Arial"/>
        <w:i/>
        <w:color w:val="a0b7e1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0B7E1" w:themeColor="accent1" w:themeTint="80" w:sz="4" w:space="0"/>
        </w:tcBorders>
      </w:tcPr>
    </w:tblStylePr>
    <w:tblStylePr w:type="firstRow">
      <w:rPr>
        <w:rFonts w:ascii="Arial" w:hAnsi="Arial"/>
        <w:b/>
        <w:color w:val="a0b7e1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0B7E1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0B7E1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0B7E1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Grid Table 7 Colorful - Accent 2"/>
    <w:basedOn w:val="695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Grid Table 7 Colorful - Accent 3"/>
    <w:basedOn w:val="695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Grid Table 7 Colorful - Accent 4"/>
    <w:basedOn w:val="695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Grid Table 7 Colorful - Accent 5"/>
    <w:basedOn w:val="695"/>
    <w:uiPriority w:val="99"/>
    <w:tblPr>
      <w:tblStyleRowBandSize w:val="1"/>
      <w:tblStyleColBandSize w:val="1"/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rFonts w:ascii="Arial" w:hAnsi="Arial"/>
        <w:i/>
        <w:color w:val="245a8d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2C6E7" w:themeColor="accent5" w:themeTint="90" w:sz="4" w:space="0"/>
        </w:tcBorders>
      </w:tcPr>
    </w:tblStylePr>
    <w:tblStylePr w:type="firstRow">
      <w:rPr>
        <w:rFonts w:ascii="Arial" w:hAnsi="Arial"/>
        <w:b/>
        <w:color w:val="245a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A2C6E7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cPr>
        <w:shd w:val="clear" w:color="ffffff" w:themeColor="light1" w:fill="ffffff" w:themeFill="light1"/>
        <w:tcBorders>
          <w:top w:val="single" w:color="A2C6E7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 w:customStyle="1">
    <w:name w:val="Grid Table 7 Colorful - Accent 6"/>
    <w:basedOn w:val="695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List Table 1 Light"/>
    <w:basedOn w:val="695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 w:customStyle="1">
    <w:name w:val="List Table 1 Light - Accent 1"/>
    <w:basedOn w:val="695"/>
    <w:uiPriority w:val="99"/>
    <w:tblPr>
      <w:tblStyleRowBandSize w:val="1"/>
      <w:tblStyleColBandSize w:val="1"/>
    </w:tblPr>
    <w:tblStylePr w:type="band1Horz"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 w:customStyle="1">
    <w:name w:val="List Table 1 Light - Accent 2"/>
    <w:basedOn w:val="695"/>
    <w:uiPriority w:val="99"/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 w:customStyle="1">
    <w:name w:val="List Table 1 Light - Accent 3"/>
    <w:basedOn w:val="695"/>
    <w:uiPriority w:val="99"/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 w:customStyle="1">
    <w:name w:val="List Table 1 Light - Accent 4"/>
    <w:basedOn w:val="695"/>
    <w:uiPriority w:val="99"/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 w:customStyle="1">
    <w:name w:val="List Table 1 Light - Accent 5"/>
    <w:basedOn w:val="695"/>
    <w:uiPriority w:val="99"/>
    <w:tblPr>
      <w:tblStyleRowBandSize w:val="1"/>
      <w:tblStyleColBandSize w:val="1"/>
    </w:tblPr>
    <w:tblStylePr w:type="band1Horz"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 w:customStyle="1">
    <w:name w:val="List Table 1 Light - Accent 6"/>
    <w:basedOn w:val="695"/>
    <w:uiPriority w:val="99"/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List Table 2"/>
    <w:basedOn w:val="695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97" w:customStyle="1">
    <w:name w:val="List Table 2 - Accent 1"/>
    <w:basedOn w:val="695"/>
    <w:uiPriority w:val="99"/>
    <w:tblPr>
      <w:tblStyleRowBandSize w:val="1"/>
      <w:tblStyleColBandSize w:val="1"/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</w:style>
  <w:style w:type="table" w:styleId="798" w:customStyle="1">
    <w:name w:val="List Table 2 - Accent 2"/>
    <w:basedOn w:val="695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99" w:customStyle="1">
    <w:name w:val="List Table 2 - Accent 3"/>
    <w:basedOn w:val="695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800" w:customStyle="1">
    <w:name w:val="List Table 2 - Accent 4"/>
    <w:basedOn w:val="695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801" w:customStyle="1">
    <w:name w:val="List Table 2 - Accent 5"/>
    <w:basedOn w:val="695"/>
    <w:uiPriority w:val="99"/>
    <w:tblPr>
      <w:tblStyleRowBandSize w:val="1"/>
      <w:tblStyleColBandSize w:val="1"/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</w:style>
  <w:style w:type="table" w:styleId="802" w:customStyle="1">
    <w:name w:val="List Table 2 - Accent 6"/>
    <w:basedOn w:val="695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803">
    <w:name w:val="List Table 3"/>
    <w:basedOn w:val="695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 w:customStyle="1">
    <w:name w:val="List Table 3 - Accent 1"/>
    <w:basedOn w:val="695"/>
    <w:uiPriority w:val="99"/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 w:customStyle="1">
    <w:name w:val="List Table 3 - Accent 2"/>
    <w:basedOn w:val="695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 w:customStyle="1">
    <w:name w:val="List Table 3 - Accent 3"/>
    <w:basedOn w:val="695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 w:customStyle="1">
    <w:name w:val="List Table 3 - Accent 4"/>
    <w:basedOn w:val="695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 w:customStyle="1">
    <w:name w:val="List Table 3 - Accent 5"/>
    <w:basedOn w:val="695"/>
    <w:uiPriority w:val="99"/>
    <w:tblPr>
      <w:tblStyleRowBandSize w:val="1"/>
      <w:tblStyleColBandSize w:val="1"/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c2e5" w:themeColor="accent5" w:themeTint="9A" w:fill="9bc2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 w:customStyle="1">
    <w:name w:val="List Table 3 - Accent 6"/>
    <w:basedOn w:val="695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4"/>
    <w:basedOn w:val="695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 w:customStyle="1">
    <w:name w:val="List Table 4 - Accent 1"/>
    <w:basedOn w:val="695"/>
    <w:uiPriority w:val="99"/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 w:customStyle="1">
    <w:name w:val="List Table 4 - Accent 2"/>
    <w:basedOn w:val="695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 w:customStyle="1">
    <w:name w:val="List Table 4 - Accent 3"/>
    <w:basedOn w:val="695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 w:customStyle="1">
    <w:name w:val="List Table 4 - Accent 4"/>
    <w:basedOn w:val="695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 w:customStyle="1">
    <w:name w:val="List Table 4 - Accent 5"/>
    <w:basedOn w:val="695"/>
    <w:uiPriority w:val="99"/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 w:customStyle="1">
    <w:name w:val="List Table 4 - Accent 6"/>
    <w:basedOn w:val="695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5 Dark"/>
    <w:basedOn w:val="695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8" w:customStyle="1">
    <w:name w:val="List Table 5 Dark - Accent 1"/>
    <w:basedOn w:val="695"/>
    <w:uiPriority w:val="99"/>
    <w:tblPr>
      <w:tblStyleRowBandSize w:val="1"/>
      <w:tblStyleColBandSize w:val="1"/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  <w:shd w:val="clear" w:color="4472c4" w:themeColor="accent1" w:fill="4472c4" w:themeFill="accent1"/>
    </w:tblPr>
    <w:tblStylePr w:type="band1Horz"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472c4" w:themeColor="accent1" w:fill="4472c4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472c4" w:themeColor="accent1" w:fill="4472c4" w:themeFill="accent1"/>
        <w:tcBorders>
          <w:top w:val="single" w:color="4472C4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9" w:customStyle="1">
    <w:name w:val="List Table 5 Dark - Accent 2"/>
    <w:basedOn w:val="695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0" w:customStyle="1">
    <w:name w:val="List Table 5 Dark - Accent 3"/>
    <w:basedOn w:val="695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1" w:customStyle="1">
    <w:name w:val="List Table 5 Dark - Accent 4"/>
    <w:basedOn w:val="695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2" w:customStyle="1">
    <w:name w:val="List Table 5 Dark - Accent 5"/>
    <w:basedOn w:val="695"/>
    <w:uiPriority w:val="99"/>
    <w:tblPr>
      <w:tblStyleRowBandSize w:val="1"/>
      <w:tblStyleColBandSize w:val="1"/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  <w:shd w:val="clear" w:color="9bc2e5" w:themeColor="accent5" w:themeTint="9A" w:fill="9bc2e5" w:themeFill="accent5" w:themeFillTint="9A"/>
    </w:tblPr>
    <w:tblStylePr w:type="band1Horz"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bc2e5" w:themeColor="accent5" w:themeTint="9A" w:fill="9bc2e5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bc2e5" w:themeColor="accent5" w:themeTint="9A" w:fill="9bc2e5" w:themeFill="accent5" w:themeFillTint="9A"/>
        <w:tcBorders>
          <w:top w:val="single" w:color="9BC2E5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3" w:customStyle="1">
    <w:name w:val="List Table 5 Dark - Accent 6"/>
    <w:basedOn w:val="695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4">
    <w:name w:val="List Table 6 Colorful"/>
    <w:basedOn w:val="695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25" w:customStyle="1">
    <w:name w:val="List Table 6 Colorful - Accent 1"/>
    <w:basedOn w:val="695"/>
    <w:uiPriority w:val="99"/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</w:tblPr>
    <w:tblStylePr w:type="band1Horz">
      <w:rPr>
        <w:rFonts w:ascii="Arial" w:hAnsi="Arial"/>
        <w:color w:val="254175" w:themeColor="accent1" w:themeShade="95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  <w:tblStylePr w:type="firstCol">
      <w:rPr>
        <w:b/>
        <w:color w:val="254175" w:themeColor="accent1" w:themeShade="95"/>
      </w:rPr>
    </w:tblStylePr>
    <w:tblStylePr w:type="firstRow">
      <w:rPr>
        <w:b/>
        <w:color w:val="254175" w:themeColor="accent1" w:themeShade="95"/>
      </w:rPr>
      <w:tcPr>
        <w:tcBorders>
          <w:bottom w:val="single" w:color="4472C4" w:themeColor="accent1" w:sz="4" w:space="0"/>
        </w:tcBorders>
      </w:tcPr>
    </w:tblStylePr>
    <w:tblStylePr w:type="lastCol">
      <w:rPr>
        <w:b/>
        <w:color w:val="254175" w:themeColor="accent1" w:themeShade="95"/>
      </w:rPr>
    </w:tblStylePr>
    <w:tblStylePr w:type="lastRow">
      <w:rPr>
        <w:b/>
        <w:color w:val="254175" w:themeColor="accent1" w:themeShade="95"/>
      </w:rPr>
      <w:tcPr>
        <w:tcBorders>
          <w:top w:val="single" w:color="4472C4" w:themeColor="accent1" w:sz="4" w:space="0"/>
        </w:tcBorders>
      </w:tcPr>
    </w:tblStylePr>
  </w:style>
  <w:style w:type="table" w:styleId="826" w:customStyle="1">
    <w:name w:val="List Table 6 Colorful - Accent 2"/>
    <w:basedOn w:val="695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27" w:customStyle="1">
    <w:name w:val="List Table 6 Colorful - Accent 3"/>
    <w:basedOn w:val="695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28" w:customStyle="1">
    <w:name w:val="List Table 6 Colorful - Accent 4"/>
    <w:basedOn w:val="695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29" w:customStyle="1">
    <w:name w:val="List Table 6 Colorful - Accent 5"/>
    <w:basedOn w:val="695"/>
    <w:uiPriority w:val="99"/>
    <w:tblPr>
      <w:tblStyleRowBandSize w:val="1"/>
      <w:tblStyleColBandSize w:val="1"/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blStylePr w:type="band1Horz">
      <w:rPr>
        <w:rFonts w:ascii="Arial" w:hAnsi="Arial"/>
        <w:color w:val="9bc2e5" w:themeColor="accent5" w:themeTint="9A" w:themeShade="95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  <w:tblStylePr w:type="firstCol">
      <w:rPr>
        <w:b/>
        <w:color w:val="9bc2e5" w:themeColor="accent5" w:themeTint="9A" w:themeShade="95"/>
      </w:rPr>
    </w:tblStylePr>
    <w:tblStylePr w:type="firstRow">
      <w:rPr>
        <w:b/>
        <w:color w:val="9bc2e5" w:themeColor="accent5" w:themeTint="9A" w:themeShade="95"/>
      </w:rPr>
      <w:tcPr>
        <w:tcBorders>
          <w:bottom w:val="single" w:color="9BC2E5" w:themeColor="accent5" w:themeTint="9A" w:sz="4" w:space="0"/>
        </w:tcBorders>
      </w:tcPr>
    </w:tblStylePr>
    <w:tblStylePr w:type="lastCol">
      <w:rPr>
        <w:b/>
        <w:color w:val="9bc2e5" w:themeColor="accent5" w:themeTint="9A" w:themeShade="95"/>
      </w:rPr>
    </w:tblStylePr>
    <w:tblStylePr w:type="lastRow">
      <w:rPr>
        <w:b/>
        <w:color w:val="9bc2e5" w:themeColor="accent5" w:themeTint="9A" w:themeShade="95"/>
      </w:rPr>
      <w:tcPr>
        <w:tcBorders>
          <w:top w:val="single" w:color="9BC2E5" w:themeColor="accent5" w:themeTint="9A" w:sz="4" w:space="0"/>
        </w:tcBorders>
      </w:tcPr>
    </w:tblStylePr>
  </w:style>
  <w:style w:type="table" w:styleId="830" w:customStyle="1">
    <w:name w:val="List Table 6 Colorful - Accent 6"/>
    <w:basedOn w:val="695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31">
    <w:name w:val="List Table 7 Colorful"/>
    <w:basedOn w:val="695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 w:customStyle="1">
    <w:name w:val="List Table 7 Colorful - Accent 1"/>
    <w:basedOn w:val="695"/>
    <w:uiPriority w:val="99"/>
    <w:tblPr>
      <w:tblStyleRowBandSize w:val="1"/>
      <w:tblStyleColBandSize w:val="1"/>
      <w:tblBorders>
        <w:right w:val="single" w:color="4472C4" w:themeColor="accent1" w:sz="4" w:space="0"/>
      </w:tblBorders>
    </w:tblPr>
    <w:tblStylePr w:type="band1Horz">
      <w:rPr>
        <w:rFonts w:ascii="Arial" w:hAnsi="Arial"/>
        <w:color w:val="254175" w:themeColor="accent1" w:themeShade="95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  <w:tblStylePr w:type="firstCol">
      <w:rPr>
        <w:rFonts w:ascii="Arial" w:hAnsi="Arial"/>
        <w:i/>
        <w:color w:val="254175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1" w:sz="4" w:space="0"/>
        </w:tcBorders>
      </w:tcPr>
    </w:tblStylePr>
    <w:tblStylePr w:type="firstRow">
      <w:rPr>
        <w:rFonts w:ascii="Arial" w:hAnsi="Arial"/>
        <w:i/>
        <w:color w:val="254175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472C4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cPr>
        <w:shd w:val="clear" w:color="ffffff" w:themeColor="light1" w:fill="ffffff" w:themeFill="light1"/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 w:customStyle="1">
    <w:name w:val="List Table 7 Colorful - Accent 2"/>
    <w:basedOn w:val="695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 w:customStyle="1">
    <w:name w:val="List Table 7 Colorful - Accent 3"/>
    <w:basedOn w:val="695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 w:customStyle="1">
    <w:name w:val="List Table 7 Colorful - Accent 4"/>
    <w:basedOn w:val="695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 w:customStyle="1">
    <w:name w:val="List Table 7 Colorful - Accent 5"/>
    <w:basedOn w:val="695"/>
    <w:uiPriority w:val="99"/>
    <w:tblPr>
      <w:tblStyleRowBandSize w:val="1"/>
      <w:tblStyleColBandSize w:val="1"/>
      <w:tblBorders>
        <w:right w:val="single" w:color="9BC2E5" w:themeColor="accent5" w:themeTint="9A" w:sz="4" w:space="0"/>
      </w:tblBorders>
    </w:tblPr>
    <w:tblStylePr w:type="band1Horz">
      <w:rPr>
        <w:rFonts w:ascii="Arial" w:hAnsi="Arial"/>
        <w:color w:val="9bc2e5" w:themeColor="accent5" w:themeTint="9A" w:themeShade="95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  <w:tblStylePr w:type="firstCol">
      <w:rPr>
        <w:rFonts w:ascii="Arial" w:hAnsi="Arial"/>
        <w:i/>
        <w:color w:val="9bc2e5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BC2E5" w:themeColor="accent5" w:themeTint="9A" w:sz="4" w:space="0"/>
        </w:tcBorders>
      </w:tcPr>
    </w:tblStylePr>
    <w:tblStylePr w:type="firstRow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BC2E5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BC2E5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BC2E5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 w:customStyle="1">
    <w:name w:val="List Table 7 Colorful - Accent 6"/>
    <w:basedOn w:val="695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 w:customStyle="1">
    <w:name w:val="Lined - Accent"/>
    <w:basedOn w:val="695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9" w:customStyle="1">
    <w:name w:val="Lined - Accent 1"/>
    <w:basedOn w:val="695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</w:style>
  <w:style w:type="table" w:styleId="840" w:customStyle="1">
    <w:name w:val="Lined - Accent 2"/>
    <w:basedOn w:val="695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41" w:customStyle="1">
    <w:name w:val="Lined - Accent 3"/>
    <w:basedOn w:val="695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42" w:customStyle="1">
    <w:name w:val="Lined - Accent 4"/>
    <w:basedOn w:val="695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43" w:customStyle="1">
    <w:name w:val="Lined - Accent 5"/>
    <w:basedOn w:val="695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</w:style>
  <w:style w:type="table" w:styleId="844" w:customStyle="1">
    <w:name w:val="Lined - Accent 6"/>
    <w:basedOn w:val="695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45" w:customStyle="1">
    <w:name w:val="Bordered &amp; Lined - Accent"/>
    <w:basedOn w:val="695"/>
    <w:uiPriority w:val="99"/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46" w:customStyle="1">
    <w:name w:val="Bordered &amp; Lined - Accent 1"/>
    <w:basedOn w:val="695"/>
    <w:uiPriority w:val="99"/>
    <w:rPr>
      <w:color w:val="404040"/>
    </w:rPr>
    <w:tblPr>
      <w:tblStyleRowBandSize w:val="1"/>
      <w:tblStyleColBandSize w:val="1"/>
      <w:tblBorders>
        <w:top w:val="single" w:color="254175" w:themeColor="accent1" w:themeShade="95" w:sz="4" w:space="0"/>
        <w:left w:val="single" w:color="254175" w:themeColor="accent1" w:themeShade="95" w:sz="4" w:space="0"/>
        <w:bottom w:val="single" w:color="254175" w:themeColor="accent1" w:themeShade="95" w:sz="4" w:space="0"/>
        <w:right w:val="single" w:color="254175" w:themeColor="accent1" w:themeShade="95" w:sz="4" w:space="0"/>
        <w:insideH w:val="single" w:color="254175" w:themeColor="accent1" w:themeShade="95" w:sz="4" w:space="0"/>
        <w:insideV w:val="single" w:color="254175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</w:style>
  <w:style w:type="table" w:styleId="847" w:customStyle="1">
    <w:name w:val="Bordered &amp; Lined - Accent 2"/>
    <w:basedOn w:val="695"/>
    <w:uiPriority w:val="99"/>
    <w:rPr>
      <w:color w:val="404040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48" w:customStyle="1">
    <w:name w:val="Bordered &amp; Lined - Accent 3"/>
    <w:basedOn w:val="695"/>
    <w:uiPriority w:val="99"/>
    <w:rPr>
      <w:color w:val="404040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49" w:customStyle="1">
    <w:name w:val="Bordered &amp; Lined - Accent 4"/>
    <w:basedOn w:val="695"/>
    <w:uiPriority w:val="99"/>
    <w:rPr>
      <w:color w:val="404040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50" w:customStyle="1">
    <w:name w:val="Bordered &amp; Lined - Accent 5"/>
    <w:basedOn w:val="695"/>
    <w:uiPriority w:val="99"/>
    <w:rPr>
      <w:color w:val="404040"/>
    </w:rPr>
    <w:tblPr>
      <w:tblStyleRowBandSize w:val="1"/>
      <w:tblStyleColBandSize w:val="1"/>
      <w:tblBorders>
        <w:top w:val="single" w:color="245A8D" w:themeColor="accent5" w:themeShade="95" w:sz="4" w:space="0"/>
        <w:left w:val="single" w:color="245A8D" w:themeColor="accent5" w:themeShade="95" w:sz="4" w:space="0"/>
        <w:bottom w:val="single" w:color="245A8D" w:themeColor="accent5" w:themeShade="95" w:sz="4" w:space="0"/>
        <w:right w:val="single" w:color="245A8D" w:themeColor="accent5" w:themeShade="95" w:sz="4" w:space="0"/>
        <w:insideH w:val="single" w:color="245A8D" w:themeColor="accent5" w:themeShade="95" w:sz="4" w:space="0"/>
        <w:insideV w:val="single" w:color="245A8D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</w:style>
  <w:style w:type="table" w:styleId="851" w:customStyle="1">
    <w:name w:val="Bordered &amp; Lined - Accent 6"/>
    <w:basedOn w:val="695"/>
    <w:uiPriority w:val="99"/>
    <w:rPr>
      <w:color w:val="404040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52" w:customStyle="1">
    <w:name w:val="Bordered"/>
    <w:basedOn w:val="695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53" w:customStyle="1">
    <w:name w:val="Bordered - Accent 1"/>
    <w:basedOn w:val="695"/>
    <w:uiPriority w:val="99"/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472C4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472C4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472C4" w:themeColor="accent1" w:sz="12" w:space="0"/>
        </w:tcBorders>
      </w:tcPr>
    </w:tblStylePr>
  </w:style>
  <w:style w:type="table" w:styleId="854" w:customStyle="1">
    <w:name w:val="Bordered - Accent 2"/>
    <w:basedOn w:val="695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55" w:customStyle="1">
    <w:name w:val="Bordered - Accent 3"/>
    <w:basedOn w:val="695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56" w:customStyle="1">
    <w:name w:val="Bordered - Accent 4"/>
    <w:basedOn w:val="695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57" w:customStyle="1">
    <w:name w:val="Bordered - Accent 5"/>
    <w:basedOn w:val="695"/>
    <w:uiPriority w:val="99"/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BC2E5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BC2E5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BC2E5" w:themeColor="accent5" w:themeTint="9A" w:sz="12" w:space="0"/>
        </w:tcBorders>
      </w:tcPr>
    </w:tblStylePr>
  </w:style>
  <w:style w:type="table" w:styleId="858" w:customStyle="1">
    <w:name w:val="Bordered - Accent 6"/>
    <w:basedOn w:val="695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paragraph" w:styleId="859">
    <w:name w:val="footnote text"/>
    <w:basedOn w:val="684"/>
    <w:link w:val="860"/>
    <w:uiPriority w:val="99"/>
    <w:semiHidden/>
    <w:unhideWhenUsed/>
    <w:pPr>
      <w:spacing w:after="40"/>
    </w:pPr>
    <w:rPr>
      <w:sz w:val="18"/>
    </w:rPr>
  </w:style>
  <w:style w:type="character" w:styleId="860" w:customStyle="1">
    <w:name w:val="Текст сноски Знак"/>
    <w:link w:val="859"/>
    <w:uiPriority w:val="99"/>
    <w:rPr>
      <w:sz w:val="18"/>
    </w:rPr>
  </w:style>
  <w:style w:type="character" w:styleId="861">
    <w:name w:val="footnote reference"/>
    <w:basedOn w:val="694"/>
    <w:uiPriority w:val="99"/>
    <w:unhideWhenUsed/>
    <w:rPr>
      <w:vertAlign w:val="superscript"/>
    </w:rPr>
  </w:style>
  <w:style w:type="paragraph" w:styleId="862">
    <w:name w:val="endnote text"/>
    <w:basedOn w:val="684"/>
    <w:link w:val="863"/>
    <w:uiPriority w:val="99"/>
    <w:semiHidden/>
    <w:unhideWhenUsed/>
    <w:rPr>
      <w:sz w:val="20"/>
    </w:rPr>
  </w:style>
  <w:style w:type="character" w:styleId="863" w:customStyle="1">
    <w:name w:val="Текст концевой сноски Знак"/>
    <w:link w:val="862"/>
    <w:uiPriority w:val="99"/>
    <w:rPr>
      <w:sz w:val="20"/>
    </w:rPr>
  </w:style>
  <w:style w:type="character" w:styleId="864">
    <w:name w:val="endnote reference"/>
    <w:basedOn w:val="694"/>
    <w:uiPriority w:val="99"/>
    <w:semiHidden/>
    <w:unhideWhenUsed/>
    <w:rPr>
      <w:vertAlign w:val="superscript"/>
    </w:rPr>
  </w:style>
  <w:style w:type="paragraph" w:styleId="865">
    <w:name w:val="toc 1"/>
    <w:basedOn w:val="684"/>
    <w:next w:val="684"/>
    <w:uiPriority w:val="39"/>
    <w:unhideWhenUsed/>
    <w:pPr>
      <w:spacing w:after="57"/>
    </w:pPr>
  </w:style>
  <w:style w:type="paragraph" w:styleId="866">
    <w:name w:val="toc 2"/>
    <w:basedOn w:val="684"/>
    <w:next w:val="684"/>
    <w:uiPriority w:val="39"/>
    <w:unhideWhenUsed/>
    <w:pPr>
      <w:ind w:left="283"/>
      <w:spacing w:after="57"/>
    </w:pPr>
  </w:style>
  <w:style w:type="paragraph" w:styleId="867">
    <w:name w:val="toc 3"/>
    <w:basedOn w:val="684"/>
    <w:next w:val="684"/>
    <w:uiPriority w:val="39"/>
    <w:unhideWhenUsed/>
    <w:pPr>
      <w:ind w:left="567"/>
      <w:spacing w:after="57"/>
    </w:pPr>
  </w:style>
  <w:style w:type="paragraph" w:styleId="868">
    <w:name w:val="toc 4"/>
    <w:basedOn w:val="684"/>
    <w:next w:val="684"/>
    <w:uiPriority w:val="39"/>
    <w:unhideWhenUsed/>
    <w:pPr>
      <w:ind w:left="850"/>
      <w:spacing w:after="57"/>
    </w:pPr>
  </w:style>
  <w:style w:type="paragraph" w:styleId="869">
    <w:name w:val="toc 5"/>
    <w:basedOn w:val="684"/>
    <w:next w:val="684"/>
    <w:uiPriority w:val="39"/>
    <w:unhideWhenUsed/>
    <w:pPr>
      <w:ind w:left="1134"/>
      <w:spacing w:after="57"/>
    </w:pPr>
  </w:style>
  <w:style w:type="paragraph" w:styleId="870">
    <w:name w:val="toc 6"/>
    <w:basedOn w:val="684"/>
    <w:next w:val="684"/>
    <w:uiPriority w:val="39"/>
    <w:unhideWhenUsed/>
    <w:pPr>
      <w:ind w:left="1417"/>
      <w:spacing w:after="57"/>
    </w:pPr>
  </w:style>
  <w:style w:type="paragraph" w:styleId="871">
    <w:name w:val="toc 7"/>
    <w:basedOn w:val="684"/>
    <w:next w:val="684"/>
    <w:uiPriority w:val="39"/>
    <w:unhideWhenUsed/>
    <w:pPr>
      <w:ind w:left="1701"/>
      <w:spacing w:after="57"/>
    </w:pPr>
  </w:style>
  <w:style w:type="paragraph" w:styleId="872">
    <w:name w:val="toc 8"/>
    <w:basedOn w:val="684"/>
    <w:next w:val="684"/>
    <w:uiPriority w:val="39"/>
    <w:unhideWhenUsed/>
    <w:pPr>
      <w:ind w:left="1984"/>
      <w:spacing w:after="57"/>
    </w:pPr>
  </w:style>
  <w:style w:type="paragraph" w:styleId="873">
    <w:name w:val="toc 9"/>
    <w:basedOn w:val="684"/>
    <w:next w:val="684"/>
    <w:uiPriority w:val="39"/>
    <w:unhideWhenUsed/>
    <w:pPr>
      <w:ind w:left="2268"/>
      <w:spacing w:after="57"/>
    </w:pPr>
  </w:style>
  <w:style w:type="paragraph" w:styleId="874">
    <w:name w:val="TOC Heading"/>
    <w:uiPriority w:val="39"/>
    <w:unhideWhenUsed/>
  </w:style>
  <w:style w:type="paragraph" w:styleId="875">
    <w:name w:val="table of figures"/>
    <w:basedOn w:val="684"/>
    <w:next w:val="684"/>
    <w:uiPriority w:val="99"/>
    <w:unhideWhenUsed/>
  </w:style>
  <w:style w:type="paragraph" w:styleId="876">
    <w:name w:val="Balloon Text"/>
    <w:basedOn w:val="684"/>
    <w:semiHidden/>
    <w:rPr>
      <w:rFonts w:ascii="Tahoma" w:hAnsi="Tahoma" w:cs="Tahoma"/>
      <w:sz w:val="16"/>
      <w:szCs w:val="16"/>
    </w:rPr>
  </w:style>
  <w:style w:type="paragraph" w:styleId="877" w:customStyle="1">
    <w:name w:val="Название1"/>
    <w:basedOn w:val="684"/>
    <w:link w:val="878"/>
    <w:qFormat/>
    <w:pPr>
      <w:jc w:val="center"/>
    </w:pPr>
    <w:rPr>
      <w:sz w:val="28"/>
      <w:szCs w:val="20"/>
    </w:rPr>
  </w:style>
  <w:style w:type="character" w:styleId="878" w:customStyle="1">
    <w:name w:val="Название Знак"/>
    <w:link w:val="877"/>
    <w:rPr>
      <w:sz w:val="28"/>
    </w:rPr>
  </w:style>
  <w:style w:type="character" w:styleId="879">
    <w:name w:val="Hyperlink"/>
    <w:rPr>
      <w:color w:val="0000ff"/>
      <w:u w:val="single"/>
    </w:rPr>
  </w:style>
  <w:style w:type="paragraph" w:styleId="880">
    <w:name w:val="Body Text"/>
    <w:basedOn w:val="684"/>
    <w:link w:val="881"/>
    <w:pPr>
      <w:spacing w:after="120"/>
    </w:pPr>
  </w:style>
  <w:style w:type="character" w:styleId="881" w:customStyle="1">
    <w:name w:val="Основной текст Знак"/>
    <w:link w:val="880"/>
    <w:rPr>
      <w:sz w:val="24"/>
      <w:szCs w:val="24"/>
    </w:rPr>
  </w:style>
  <w:style w:type="paragraph" w:styleId="882" w:customStyle="1">
    <w:name w:val="ConsPlusTitle"/>
    <w:uiPriority w:val="99"/>
    <w:pPr>
      <w:widowControl w:val="off"/>
    </w:pPr>
    <w:rPr>
      <w:rFonts w:ascii="Calibri" w:hAnsi="Calibri" w:cs="Calibri"/>
      <w:b/>
      <w:bCs/>
      <w:sz w:val="22"/>
      <w:szCs w:val="22"/>
    </w:rPr>
  </w:style>
  <w:style w:type="table" w:styleId="883">
    <w:name w:val="Table Grid"/>
    <w:basedOn w:val="695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84">
    <w:name w:val="No Spacing"/>
    <w:uiPriority w:val="1"/>
    <w:qFormat/>
    <w:rPr>
      <w:sz w:val="24"/>
      <w:szCs w:val="24"/>
    </w:rPr>
  </w:style>
  <w:style w:type="character" w:styleId="885" w:customStyle="1">
    <w:name w:val="Основной текст (2)_"/>
    <w:link w:val="886"/>
    <w:rPr>
      <w:b/>
      <w:bCs/>
      <w:sz w:val="27"/>
      <w:szCs w:val="27"/>
      <w:shd w:val="clear" w:color="auto" w:fill="ffffff"/>
    </w:rPr>
  </w:style>
  <w:style w:type="paragraph" w:styleId="886" w:customStyle="1">
    <w:name w:val="Основной текст (2)"/>
    <w:basedOn w:val="684"/>
    <w:link w:val="885"/>
    <w:pPr>
      <w:ind w:firstLine="720"/>
      <w:jc w:val="both"/>
      <w:spacing w:before="300" w:line="331" w:lineRule="exact"/>
      <w:shd w:val="clear" w:color="auto" w:fill="ffffff"/>
    </w:pPr>
    <w:rPr>
      <w:b/>
      <w:bCs/>
      <w:sz w:val="27"/>
      <w:szCs w:val="27"/>
    </w:rPr>
  </w:style>
  <w:style w:type="character" w:styleId="887" w:customStyle="1">
    <w:name w:val="Заголовок №1_"/>
    <w:link w:val="888"/>
    <w:rPr>
      <w:b/>
      <w:bCs/>
      <w:sz w:val="27"/>
      <w:szCs w:val="27"/>
      <w:shd w:val="clear" w:color="auto" w:fill="ffffff"/>
    </w:rPr>
  </w:style>
  <w:style w:type="paragraph" w:styleId="888" w:customStyle="1">
    <w:name w:val="Заголовок №1"/>
    <w:basedOn w:val="684"/>
    <w:link w:val="887"/>
    <w:pPr>
      <w:ind w:firstLine="720"/>
      <w:jc w:val="both"/>
      <w:spacing w:before="180" w:line="317" w:lineRule="exact"/>
      <w:shd w:val="clear" w:color="auto" w:fill="ffffff"/>
      <w:outlineLvl w:val="0"/>
    </w:pPr>
    <w:rPr>
      <w:b/>
      <w:bCs/>
      <w:sz w:val="27"/>
      <w:szCs w:val="27"/>
    </w:rPr>
  </w:style>
  <w:style w:type="paragraph" w:styleId="889" w:customStyle="1">
    <w:name w:val="Default"/>
    <w:rPr>
      <w:color w:val="000000"/>
      <w:sz w:val="24"/>
      <w:szCs w:val="24"/>
    </w:rPr>
  </w:style>
  <w:style w:type="paragraph" w:styleId="890">
    <w:name w:val="Header"/>
    <w:basedOn w:val="684"/>
    <w:link w:val="891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91" w:customStyle="1">
    <w:name w:val="Верхний колонтитул Знак"/>
    <w:basedOn w:val="694"/>
    <w:link w:val="890"/>
    <w:uiPriority w:val="99"/>
    <w:rPr>
      <w:sz w:val="24"/>
      <w:szCs w:val="24"/>
    </w:rPr>
  </w:style>
  <w:style w:type="paragraph" w:styleId="892">
    <w:name w:val="Footer"/>
    <w:basedOn w:val="684"/>
    <w:link w:val="893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93" w:customStyle="1">
    <w:name w:val="Нижний колонтитул Знак"/>
    <w:basedOn w:val="694"/>
    <w:link w:val="892"/>
    <w:uiPriority w:val="99"/>
    <w:rPr>
      <w:sz w:val="24"/>
      <w:szCs w:val="24"/>
    </w:rPr>
  </w:style>
  <w:style w:type="paragraph" w:styleId="894" w:customStyle="1">
    <w:name w:val="ConsPlusNormal"/>
    <w:pPr>
      <w:widowControl w:val="off"/>
    </w:pPr>
    <w:rPr>
      <w:rFonts w:eastAsiaTheme="minorEastAsia"/>
      <w:sz w:val="24"/>
      <w:szCs w:val="24"/>
    </w:rPr>
  </w:style>
  <w:style w:type="character" w:styleId="895" w:customStyle="1">
    <w:name w:val="title_razdel"/>
  </w:style>
  <w:style w:type="character" w:styleId="896" w:customStyle="1">
    <w:name w:val="Гиперссылка1"/>
    <w:rPr>
      <w:color w:val="0000ff"/>
      <w:u w:val="single"/>
    </w:rPr>
  </w:style>
  <w:style w:type="character" w:styleId="897">
    <w:name w:val="FollowedHyperlink"/>
    <w:basedOn w:val="694"/>
    <w:uiPriority w:val="99"/>
    <w:semiHidden/>
    <w:unhideWhenUsed/>
    <w:rPr>
      <w:color w:val="954f72" w:themeColor="followedHyperlink"/>
      <w:u w:val="single"/>
    </w:rPr>
  </w:style>
  <w:style w:type="paragraph" w:styleId="898">
    <w:name w:val="Normal (Web)"/>
    <w:basedOn w:val="684"/>
    <w:uiPriority w:val="99"/>
    <w:unhideWhenUsed/>
    <w:pPr>
      <w:spacing w:before="100" w:beforeAutospacing="1" w:after="100" w:afterAutospacing="1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Relationship Id="rId13" Type="http://schemas.openxmlformats.org/officeDocument/2006/relationships/hyperlink" Target="https://admhmao.ru/dokumenty/pravovye-akty-gubernatora/postanovleniya/10877131/" TargetMode="External"/><Relationship Id="rId14" Type="http://schemas.openxmlformats.org/officeDocument/2006/relationships/hyperlink" Target="http://bptr.eias.admhmao.ru/TariffDecisions?reg=RU.5.86" TargetMode="External"/><Relationship Id="rId15" Type="http://schemas.openxmlformats.org/officeDocument/2006/relationships/hyperlink" Target="https://rst.admhmao.ru/dokumenty/" TargetMode="External"/><Relationship Id="rId16" Type="http://schemas.openxmlformats.org/officeDocument/2006/relationships/hyperlink" Target="https://www.yugra-ecology.ru/calculator" TargetMode="External"/><Relationship Id="rId17" Type="http://schemas.openxmlformats.org/officeDocument/2006/relationships/hyperlink" Target="https://rec.admtyumen.ru/" TargetMode="External"/><Relationship Id="rId18" Type="http://schemas.openxmlformats.org/officeDocument/2006/relationships/hyperlink" Target="http://www.jsn.admhmao.ru/" TargetMode="External"/><Relationship Id="rId19" Type="http://schemas.openxmlformats.org/officeDocument/2006/relationships/hyperlink" Target="https://ds.admhmao.ru/" TargetMode="External"/><Relationship Id="rId20" Type="http://schemas.openxmlformats.org/officeDocument/2006/relationships/hyperlink" Target="https://depprom.admhmao.ru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A9C72B-C200-4010-92B6-C445A9BE20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Р7-Офис/7.3.0.0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PozdeevAN</dc:creator>
  <cp:revision>65</cp:revision>
  <dcterms:created xsi:type="dcterms:W3CDTF">2021-04-13T10:43:00Z</dcterms:created>
  <dcterms:modified xsi:type="dcterms:W3CDTF">2025-01-30T05:22:45Z</dcterms:modified>
</cp:coreProperties>
</file>